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pPr>
      <w:r>
        <w:rPr>
          <w:sz w:val="20"/>
          <w:szCs w:val="20"/>
          <w:b w:val="1"/>
          <w:bCs w:val="1"/>
        </w:rPr>
        <w:t xml:space="preserve">ILICALAR ŞEHİT MANSUR SALCAN  ORTAOKULU</w:t>
      </w:r>
    </w:p>
    <w:p>
      <w:pPr>
        <w:jc w:val="center"/>
      </w:pPr>
      <w:r>
        <w:rPr>
          <w:sz w:val="20"/>
          <w:szCs w:val="20"/>
          <w:b w:val="1"/>
          <w:bCs w:val="1"/>
        </w:rPr>
        <w:t xml:space="preserve">7. SINIF SOSYAL BİLGİLER DERS PLANI</w:t>
      </w:r>
    </w:p>
    <w:p>
      <w:pPr>
        <w:jc w:val="center"/>
      </w:pPr>
      <w:r>
        <w:rPr>
          <w:sz w:val="20"/>
          <w:szCs w:val="20"/>
          <w:b w:val="1"/>
          <w:bCs w:val="1"/>
        </w:rPr>
        <w:t xml:space="preserve">13. HAFTA (08 - 12 Aralık)</w:t>
      </w:r>
    </w:p>
    <w:p>
      <w:pPr/>
      <w:r>
        <w:rPr/>
        <w:t xml:space="preserve"/>
      </w:r>
    </w:p>
    <w:tbl>
      <w:tblGrid>
        <w:gridCol w:w="378" w:type="dxa"/>
        <w:gridCol w:w="756" w:type="dxa"/>
        <w:gridCol w:w="2016" w:type="dxa"/>
        <w:gridCol w:w="9450" w:type="dxa"/>
      </w:tblGrid>
      <w:tblPr>
        <w:tblW w:w="0" w:type="auto"/>
        <w:tblLayout w:type="autofit"/>
        <w:bidiVisual w:val="0"/>
        <w:tblCellMar>
          <w:top w:w="80" w:type="dxa"/>
          <w:left w:w="80" w:type="dxa"/>
          <w:right w:w="80" w:type="dxa"/>
          <w:bottom w:w="80" w:type="dxa"/>
        </w:tblCellMar>
        <w:tblBorders>
          <w:top w:val="single" w:sz="8" w:color="6db7ce"/>
          <w:left w:val="single" w:sz="8" w:color="6db7ce"/>
          <w:right w:val="single" w:sz="8" w:color="6db7ce"/>
          <w:bottom w:val="single" w:sz="8" w:color="6db7ce"/>
          <w:insideH w:val="single" w:sz="8" w:color="6db7ce"/>
          <w:insideV w:val="single" w:sz="8" w:color="6db7ce"/>
        </w:tblBorders>
      </w:tblPr>
      <w:tr>
        <w:trPr/>
        <w:tc>
          <w:tcPr>
            <w:tcW w:w="" w:type="dxa"/>
            <w:shd w:val="clear" w:fill="bad090"/>
            <w:gridSpan w:val="4"/>
          </w:tcPr>
          <w:p>
            <w:pPr/>
            <w:r>
              <w:rPr>
                <w:sz w:val="18"/>
                <w:szCs w:val="18"/>
                <w:b w:val="1"/>
                <w:bCs w:val="1"/>
              </w:rPr>
              <w:t xml:space="preserve">	BÖLÜM 1</w:t>
            </w:r>
          </w:p>
        </w:tc>
      </w:tr>
      <w:tr>
        <w:trPr/>
        <w:tc>
          <w:tcPr>
            <w:tcW w:w="378" w:type="dxa"/>
            <w:vAlign w:val="center"/>
          </w:tcPr>
          <w:p>
            <w:pPr/>
            <w:r>
              <w:rPr>
                <w:sz w:val="18"/>
                <w:szCs w:val="18"/>
                <w:b w:val="1"/>
                <w:bCs w:val="1"/>
              </w:rPr>
              <w:t xml:space="preserve">1</w:t>
            </w:r>
          </w:p>
        </w:tc>
        <w:tc>
          <w:tcPr>
            <w:tcW w:w="2772" w:type="dxa"/>
            <w:vAlign w:val="center"/>
            <w:gridSpan w:val="2"/>
          </w:tcPr>
          <w:p>
            <w:pPr/>
            <w:r>
              <w:rPr>
                <w:sz w:val="18"/>
                <w:szCs w:val="18"/>
              </w:rPr>
              <w:t xml:space="preserve">Ünite</w:t>
            </w:r>
          </w:p>
        </w:tc>
        <w:tc>
          <w:tcPr>
            <w:tcW w:w="9450" w:type="dxa"/>
            <w:vAlign w:val="center"/>
          </w:tcPr>
          <w:p>
            <w:pPr/>
            <w:r>
              <w:rPr>
                <w:sz w:val="18"/>
                <w:szCs w:val="18"/>
                <w:b w:val="1"/>
                <w:bCs w:val="1"/>
              </w:rPr>
              <w:t xml:space="preserve">SB.7.2 KÜLTÜR VE MİRAS</w:t>
            </w:r>
          </w:p>
        </w:tc>
      </w:tr>
      <w:tr>
        <w:trPr/>
        <w:tc>
          <w:tcPr>
            <w:tcW w:w="378" w:type="dxa"/>
            <w:vAlign w:val="center"/>
          </w:tcPr>
          <w:p>
            <w:pPr/>
            <w:r>
              <w:rPr>
                <w:sz w:val="18"/>
                <w:szCs w:val="18"/>
                <w:b w:val="1"/>
                <w:bCs w:val="1"/>
              </w:rPr>
              <w:t xml:space="preserve">2</w:t>
            </w:r>
          </w:p>
        </w:tc>
        <w:tc>
          <w:tcPr>
            <w:tcW w:w="2772" w:type="dxa"/>
            <w:vAlign w:val="center"/>
            <w:gridSpan w:val="2"/>
          </w:tcPr>
          <w:p>
            <w:pPr/>
            <w:r>
              <w:rPr>
                <w:sz w:val="18"/>
                <w:szCs w:val="18"/>
              </w:rPr>
              <w:t xml:space="preserve">Konu</w:t>
            </w:r>
          </w:p>
        </w:tc>
        <w:tc>
          <w:tcPr>
            <w:tcW w:w="9450" w:type="dxa"/>
            <w:vAlign w:val="center"/>
          </w:tcPr>
          <w:p>
            <w:pPr/>
            <w:r>
              <w:rPr>
                <w:sz w:val="18"/>
                <w:szCs w:val="18"/>
                <w:b w:val="1"/>
                <w:bCs w:val="1"/>
              </w:rPr>
              <w:t xml:space="preserve">Seyyahların Gözüyle Osmanlı</w:t>
            </w:r>
          </w:p>
        </w:tc>
      </w:tr>
      <w:tr>
        <w:trPr/>
        <w:tc>
          <w:tcPr>
            <w:tcW w:w="378" w:type="dxa"/>
            <w:vAlign w:val="center"/>
          </w:tcPr>
          <w:p>
            <w:pPr/>
            <w:r>
              <w:rPr>
                <w:sz w:val="18"/>
                <w:szCs w:val="18"/>
                <w:b w:val="1"/>
                <w:bCs w:val="1"/>
              </w:rPr>
              <w:t xml:space="preserve">3</w:t>
            </w:r>
          </w:p>
        </w:tc>
        <w:tc>
          <w:tcPr>
            <w:tcW w:w="2772" w:type="dxa"/>
            <w:vAlign w:val="center"/>
            <w:gridSpan w:val="2"/>
          </w:tcPr>
          <w:p>
            <w:pPr/>
            <w:r>
              <w:rPr>
                <w:sz w:val="18"/>
                <w:szCs w:val="18"/>
              </w:rPr>
              <w:t xml:space="preserve">Önerilen Süre</w:t>
            </w:r>
          </w:p>
        </w:tc>
        <w:tc>
          <w:tcPr>
            <w:tcW w:w="9450" w:type="dxa"/>
            <w:vAlign w:val="center"/>
          </w:tcPr>
          <w:p>
            <w:pPr/>
            <w:r>
              <w:rPr>
                <w:sz w:val="18"/>
                <w:szCs w:val="18"/>
                <w:b w:val="1"/>
                <w:bCs w:val="1"/>
              </w:rPr>
              <w:t xml:space="preserve">3 Ders Saati</w:t>
            </w:r>
          </w:p>
        </w:tc>
      </w:tr>
      <w:tr>
        <w:trPr/>
        <w:tc>
          <w:tcPr>
            <w:tcW w:w="" w:type="dxa"/>
            <w:shd w:val="clear" w:fill="bad090"/>
            <w:gridSpan w:val="4"/>
          </w:tcPr>
          <w:p>
            <w:pPr/>
            <w:r>
              <w:rPr>
                <w:sz w:val="18"/>
                <w:szCs w:val="18"/>
                <w:b w:val="1"/>
                <w:bCs w:val="1"/>
              </w:rPr>
              <w:t xml:space="preserve">	BÖLÜM 2</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Kazanım</w:t>
            </w:r>
          </w:p>
        </w:tc>
        <w:tc>
          <w:tcPr>
            <w:tcW w:w="9450" w:type="dxa"/>
            <w:vAlign w:val="center"/>
          </w:tcPr>
          <w:p>
            <w:pPr/>
            <w:r>
              <w:rPr>
                <w:sz w:val="16"/>
                <w:szCs w:val="16"/>
                <w:b w:val="1"/>
                <w:bCs w:val="1"/>
              </w:rPr>
              <w:t xml:space="preserve">SB.7.2.5. Osmanlı kültür, sanat ve estetik anlayışına örnekler verir.</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Öğretme-Öğrenme Yöntem ve Teknikleri</w:t>
            </w:r>
          </w:p>
        </w:tc>
        <w:tc>
          <w:tcPr>
            <w:tcW w:w="9450" w:type="dxa"/>
            <w:vAlign w:val="center"/>
          </w:tcPr>
          <w:p>
            <w:pPr/>
            <w:r>
              <w:rPr>
                <w:sz w:val="16"/>
                <w:szCs w:val="16"/>
              </w:rPr>
              <w:t xml:space="preserve">Anlatım, Problem Çözme, Soru-Cevap, Örnek Olay, Beyin Fırtınası</w:t>
            </w:r>
          </w:p>
        </w:tc>
      </w:tr>
      <w:tr>
        <w:trPr/>
        <w:tc>
          <w:tcPr>
            <w:tcW w:w="378" w:type="dxa"/>
            <w:vAlign w:val="center"/>
          </w:tcPr>
          <w:p>
            <w:pPr/>
            <w:r>
              <w:rPr>
                <w:sz w:val="16"/>
                <w:szCs w:val="16"/>
                <w:b w:val="1"/>
                <w:bCs w:val="1"/>
              </w:rPr>
              <w:t xml:space="preserve">3</w:t>
            </w:r>
          </w:p>
        </w:tc>
        <w:tc>
          <w:tcPr>
            <w:tcW w:w="2772" w:type="dxa"/>
            <w:vAlign w:val="center"/>
            <w:gridSpan w:val="2"/>
          </w:tcPr>
          <w:p>
            <w:pPr/>
            <w:r>
              <w:rPr>
                <w:sz w:val="16"/>
                <w:szCs w:val="16"/>
              </w:rPr>
              <w:t xml:space="preserve">Kullanılan Eğitim Teknolojileri Araç-Gereçler</w:t>
            </w:r>
          </w:p>
        </w:tc>
        <w:tc>
          <w:tcPr>
            <w:tcW w:w="9450" w:type="dxa"/>
            <w:vAlign w:val="center"/>
          </w:tcPr>
          <w:p>
            <w:pPr/>
            <w:r>
              <w:rPr>
                <w:sz w:val="16"/>
                <w:szCs w:val="16"/>
              </w:rPr>
              <w:t xml:space="preserve">Ders Kitabı, Eba İçerikleri, Etkileşimli Tahta, Ders İçeriğine Uygun Materyaller, Çeşitli Görsel ve İşitsel Materyaller</w:t>
            </w:r>
          </w:p>
        </w:tc>
      </w:tr>
      <w:tr>
        <w:trPr/>
        <w:tc>
          <w:tcPr>
            <w:tcW w:w="378" w:type="dxa"/>
            <w:vAlign w:val="center"/>
          </w:tcPr>
          <w:p>
            <w:pPr/>
            <w:r>
              <w:rPr>
                <w:sz w:val="16"/>
                <w:szCs w:val="16"/>
                <w:b w:val="1"/>
                <w:bCs w:val="1"/>
              </w:rPr>
              <w:t xml:space="preserve">4</w:t>
            </w:r>
          </w:p>
        </w:tc>
        <w:tc>
          <w:tcPr>
            <w:tcW w:w="756" w:type="dxa"/>
            <w:textDirection w:val="btLr"/>
          </w:tcPr>
          <w:p>
            <w:pPr>
              <w:jc w:val="center"/>
            </w:pPr>
            <w:r>
              <w:rPr>
                <w:sz w:val="16"/>
                <w:szCs w:val="16"/>
              </w:rPr>
              <w:t xml:space="preserve">Öğrenme-Öğretme Etkinlikleri</w:t>
            </w:r>
          </w:p>
        </w:tc>
        <w:tc>
          <w:tcPr>
            <w:tcW w:w="2016" w:type="dxa"/>
            <w:vAlign w:val="center"/>
          </w:tcPr>
          <w:p>
            <w:pPr/>
            <w:r>
              <w:rPr>
                <w:sz w:val="16"/>
                <w:szCs w:val="16"/>
              </w:rPr>
              <w:t xml:space="preserve">a) Dikkat Çekme:</w:t>
            </w:r>
          </w:p>
          <w:p>
            <w:pPr/>
            <w:r>
              <w:rPr>
                <w:sz w:val="16"/>
                <w:szCs w:val="16"/>
              </w:rPr>
              <w:t xml:space="preserve">b) Güdüleme</w:t>
            </w:r>
          </w:p>
          <w:p>
            <w:pPr/>
            <w:r>
              <w:rPr>
                <w:sz w:val="16"/>
                <w:szCs w:val="16"/>
              </w:rPr>
              <w:t xml:space="preserve">c) Gözden geçirme:</w:t>
            </w:r>
          </w:p>
          <w:p>
            <w:pPr/>
            <w:r>
              <w:rPr>
                <w:sz w:val="16"/>
                <w:szCs w:val="16"/>
              </w:rPr>
              <w:t xml:space="preserve">d) Derse Geçiş:</w:t>
            </w:r>
          </w:p>
          <w:p>
            <w:pPr/>
            <w:r>
              <w:rPr>
                <w:sz w:val="16"/>
                <w:szCs w:val="16"/>
              </w:rPr>
              <w:t xml:space="preserve">e) Grupla Öğrenme Etkinlikleri:</w:t>
            </w:r>
          </w:p>
          <w:p>
            <w:pPr/>
            <w:r>
              <w:rPr>
                <w:sz w:val="16"/>
                <w:szCs w:val="16"/>
              </w:rPr>
              <w:t xml:space="preserve">f) Bireysel Öğrenme Etkinlikleri:</w:t>
            </w:r>
          </w:p>
        </w:tc>
        <w:tc>
          <w:tcPr>
            <w:tcW w:w="9450" w:type="dxa"/>
            <w:vAlign w:val="center"/>
          </w:tcPr>
          <w:p>
            <w:pPr/>
            <w:r>
              <w:rPr>
                <w:sz w:val="16"/>
                <w:szCs w:val="16"/>
                <w:b w:val="1"/>
                <w:bCs w:val="1"/>
              </w:rPr>
              <w:t xml:space="preserve">Giriş</w:t>
            </w:r>
          </w:p>
          <w:p>
            <w:pPr/>
            <w:r>
              <w:rPr>
                <w:sz w:val="16"/>
                <w:szCs w:val="16"/>
              </w:rPr>
              <w:t xml:space="preserve">• Geçen hafta Osmanlı Devleti'nde yapılan ıslahatlar ve kurulan yeni kurumlar kısaca hatırlatılarak derse başlanır.</w:t>
            </w:r>
          </w:p>
          <w:p>
            <w:pPr/>
            <w:r>
              <w:rPr>
                <w:sz w:val="16"/>
                <w:szCs w:val="16"/>
              </w:rPr>
              <w:t xml:space="preserve">• Sizce farklı ülkelerden gelen seyyahlar, Osmanlı toplumunu ve kültürünü nasıl gözlemlemiş olabilirler sorusu ile dikkat çekilir.</w:t>
            </w:r>
          </w:p>
          <w:p>
            <w:pPr/>
            <w:r>
              <w:rPr>
                <w:sz w:val="16"/>
                <w:szCs w:val="16"/>
              </w:rPr>
              <w:t xml:space="preserve">• Bu derste, yerli ve yabancı seyyahların gözünden Osmanlı kültür, sanat ve estetik anlayışına örnekler incelenecektir.</w:t>
            </w:r>
          </w:p>
          <w:p>
            <w:pPr/>
            <w:r>
              <w:rPr>
                <w:sz w:val="16"/>
                <w:szCs w:val="16"/>
                <w:b w:val="1"/>
                <w:bCs w:val="1"/>
              </w:rPr>
              <w:t xml:space="preserve">Geliştirme - Uygulama</w:t>
            </w:r>
          </w:p>
          <w:p>
            <w:pPr/>
            <w:r>
              <w:rPr>
                <w:sz w:val="16"/>
                <w:szCs w:val="16"/>
              </w:rPr>
              <w:t xml:space="preserve">• Seyyahların, farklı coğrafyaları ve kültürleri tanımak amacıyla yaptıkları yolculuklar kısaca açıklanır.</w:t>
            </w:r>
          </w:p>
          <w:p>
            <w:pPr/>
            <w:r>
              <w:rPr>
                <w:sz w:val="16"/>
                <w:szCs w:val="16"/>
              </w:rPr>
              <w:t xml:space="preserve">• Seyahatnamelerin, seyyahların gözlemlerini, deneyimlerini ve izlenimlerini kaydettikleri eserler olduğu belirtilir.</w:t>
            </w:r>
          </w:p>
          <w:p>
            <w:pPr/>
            <w:r>
              <w:rPr>
                <w:sz w:val="16"/>
                <w:szCs w:val="16"/>
              </w:rPr>
              <w:t xml:space="preserve">• Osmanlı Devleti'ne gelen yerli ve yabancı seyyahların, dönemin yaşamına ışık tuttuğu vurgulanır.</w:t>
            </w:r>
          </w:p>
          <w:p>
            <w:pPr/>
            <w:r>
              <w:rPr>
                <w:sz w:val="16"/>
                <w:szCs w:val="16"/>
              </w:rPr>
              <w:t xml:space="preserve">• Evliya Çelebi'nin Seyahatnamesi gibi yerli kaynakların, Osmanlı şehirlerini ve sosyal yaşamını detaylı anlattığı belirtilir.</w:t>
            </w:r>
          </w:p>
          <w:p>
            <w:pPr/>
            <w:r>
              <w:rPr>
                <w:sz w:val="16"/>
                <w:szCs w:val="16"/>
              </w:rPr>
              <w:t xml:space="preserve">• Lady Mary Wortley Montagu gibi yabancı seyyahların, Osmanlı kadınlarının yaşamına dair önemli bilgiler sunduğu açıklanır.</w:t>
            </w:r>
          </w:p>
          <w:p>
            <w:pPr/>
            <w:r>
              <w:rPr>
                <w:sz w:val="16"/>
                <w:szCs w:val="16"/>
              </w:rPr>
              <w:t xml:space="preserve">• Seyyahların, Osmanlı mimarisine hayran kaldıkları ve cami, köprü, hamam gibi yapıları sıkça tasvir ettikleri anlatılır.</w:t>
            </w:r>
          </w:p>
          <w:p>
            <w:pPr/>
            <w:r>
              <w:rPr>
                <w:sz w:val="16"/>
                <w:szCs w:val="16"/>
              </w:rPr>
              <w:t xml:space="preserve">• Osmanlı şehirlerinin estetik yapısı, düzenli çarşıları ve temiz sokaklarının seyyahların dikkatini çektiği ifade edilir.</w:t>
            </w:r>
          </w:p>
          <w:p>
            <w:pPr/>
            <w:r>
              <w:rPr>
                <w:sz w:val="16"/>
                <w:szCs w:val="16"/>
              </w:rPr>
              <w:t xml:space="preserve">• Osmanlı el sanatları, özellikle çini, hat ve minyatür sanatının seyyahların eserlerinde yer aldığı incelenir.</w:t>
            </w:r>
          </w:p>
          <w:p>
            <w:pPr/>
            <w:r>
              <w:rPr>
                <w:sz w:val="16"/>
                <w:szCs w:val="16"/>
              </w:rPr>
              <w:t xml:space="preserve">• Seyyahların, Osmanlı toplumunun misafirperverliğini, hoşgörüsünü ve günlük yaşam pratiklerini gözlemledikleri belirtilir.</w:t>
            </w:r>
          </w:p>
          <w:p>
            <w:pPr/>
            <w:r>
              <w:rPr>
                <w:sz w:val="16"/>
                <w:szCs w:val="16"/>
              </w:rPr>
              <w:t xml:space="preserve">• Geleneksel kıyafetler, şenlikler, düğünler ve bayram kutlamalarının seyahatnamelerde renkli bir şekilde tasvir edildiği konuşulur.</w:t>
            </w:r>
          </w:p>
          <w:p>
            <w:pPr/>
            <w:r>
              <w:rPr>
                <w:sz w:val="16"/>
                <w:szCs w:val="16"/>
              </w:rPr>
              <w:t xml:space="preserve">• Osmanlı mutfağının zenginliği ve çeşitliliğinin, seyyahların notlarında önemli bir yer tuttuğu açıklanır.</w:t>
            </w:r>
          </w:p>
          <w:p>
            <w:pPr/>
            <w:r>
              <w:rPr>
                <w:sz w:val="16"/>
                <w:szCs w:val="16"/>
              </w:rPr>
              <w:t xml:space="preserve">• Öğrencilere, seyyahların gözünden Osmanlı mimarisine ait görseller (cami, köprü) gösterilerek estetik unsurları tartışmaları istenir.</w:t>
            </w:r>
          </w:p>
          <w:p>
            <w:pPr/>
            <w:r>
              <w:rPr>
                <w:sz w:val="16"/>
                <w:szCs w:val="16"/>
              </w:rPr>
              <w:t xml:space="preserve">• Kısa seyahatname metinlerinden seçilen bölümler okunarak, öğrencilerin Osmanlı kültürüne dair çıkarımlar yapmaları sağlanır.</w:t>
            </w:r>
          </w:p>
          <w:p>
            <w:pPr/>
            <w:r>
              <w:rPr>
                <w:sz w:val="16"/>
                <w:szCs w:val="16"/>
              </w:rPr>
              <w:t xml:space="preserve">• Öğrenciler, seyyahların gözlemlediği bir Osmanlı geleneğini veya sanat eserini kendi cümleleriyle anlatmaya teşvik edilir.</w:t>
            </w:r>
          </w:p>
          <w:p>
            <w:pPr/>
            <w:r>
              <w:rPr>
                <w:sz w:val="16"/>
                <w:szCs w:val="16"/>
              </w:rPr>
              <w:t xml:space="preserve">• Bu gözlemlerin, Osmanlı kültürünün zenginliğini ve çeşitliliğini anlamak için değerli bir kaynak olduğu vurgulanır.</w:t>
            </w:r>
          </w:p>
          <w:p>
            <w:pPr/>
            <w:r>
              <w:rPr>
                <w:sz w:val="16"/>
                <w:szCs w:val="16"/>
                <w:b w:val="1"/>
                <w:bCs w:val="1"/>
              </w:rPr>
              <w:t xml:space="preserve">Pekiştirme</w:t>
            </w:r>
          </w:p>
          <w:p>
            <w:pPr/>
            <w:r>
              <w:rPr>
                <w:sz w:val="16"/>
                <w:szCs w:val="16"/>
              </w:rPr>
              <w:t xml:space="preserve">• Seyyahların seyahatnamelerinin, Osmanlı kültürü ve sanatı hakkında neden önemli birincil kaynaklar olduğu tartışılır.</w:t>
            </w:r>
          </w:p>
          <w:p>
            <w:pPr/>
            <w:r>
              <w:rPr>
                <w:sz w:val="16"/>
                <w:szCs w:val="16"/>
              </w:rPr>
              <w:t xml:space="preserve">• Öğrencilerden, seyyahların en çok hangi Osmanlı kültürel ögesinden etkilendiğini düşündüklerini açıklamaları istenir.</w:t>
            </w:r>
          </w:p>
          <w:p>
            <w:pPr/>
            <w:r>
              <w:rPr>
                <w:sz w:val="16"/>
                <w:szCs w:val="16"/>
              </w:rPr>
              <w:t xml:space="preserve">• Osmanlı mimarisinde ve sanatında görülen estetik anlayışın, günümüzdeki sanatsal eserlere nasıl ilham verdiği konuşulur.</w:t>
            </w:r>
          </w:p>
          <w:p>
            <w:pPr/>
            <w:r>
              <w:rPr>
                <w:sz w:val="16"/>
                <w:szCs w:val="16"/>
              </w:rPr>
              <w:t xml:space="preserve">• Seyyahların gözlemlerinin, Osmanlı toplumunun farklı yönlerini anlamamıza nasıl yardımcı olduğu vurgulanır.</w:t>
            </w:r>
          </w:p>
          <w:p>
            <w:pPr/>
            <w:r>
              <w:rPr>
                <w:sz w:val="16"/>
                <w:szCs w:val="16"/>
                <w:b w:val="1"/>
                <w:bCs w:val="1"/>
              </w:rPr>
              <w:t xml:space="preserve">Kapanış ve Değerlendirme</w:t>
            </w:r>
          </w:p>
          <w:p>
            <w:pPr/>
            <w:r>
              <w:rPr>
                <w:sz w:val="16"/>
                <w:szCs w:val="16"/>
              </w:rPr>
              <w:t xml:space="preserve">• Osmanlı Devleti'ne gelen bir seyyahın, Osmanlı kültür ve sanatına dair hangi unsurları seyahatnamesine yazabileceğini açıklayınız.</w:t>
            </w:r>
          </w:p>
          <w:p>
            <w:pPr/>
            <w:r>
              <w:rPr>
                <w:sz w:val="16"/>
                <w:szCs w:val="16"/>
              </w:rPr>
              <w:t xml:space="preserve">• Seyyahların gözlemleri, Osmanlı toplumunun estetik anlayışı hakkında bize hangi bilgileri sunmaktadır belirtiniz.</w:t>
            </w:r>
          </w:p>
          <w:p>
            <w:pPr/>
            <w:r>
              <w:rPr>
                <w:sz w:val="16"/>
                <w:szCs w:val="16"/>
              </w:rPr>
              <w:t xml:space="preserve">• Öğrencilerin derse aktif katılımları ve gösterdikleri ilgi için içtenlikle teşekkür edilerek dersin sonuna gelinir.</w:t>
            </w:r>
          </w:p>
          <w:p>
            <w:pPr/>
            <w:r>
              <w:rPr>
                <w:sz w:val="16"/>
                <w:szCs w:val="16"/>
              </w:rPr>
              <w:t xml:space="preserve">• Gelecek dersin konusu olan Osmanlı'da toplumsal yaşam ve günlük hayat pratikleri hakkında kısa bilgilendirme yapılır.</w:t>
            </w:r>
          </w:p>
          <w:p>
            <w:pPr/>
            <w:r>
              <w:rPr>
                <w:sz w:val="16"/>
                <w:szCs w:val="16"/>
              </w:rPr>
              <w:t xml:space="preserve">• Tarihi kaynakların, geçmiş kültürleri anlamada ne kadar değerli olduğu bir kez daha vurgulanır.</w:t>
            </w:r>
          </w:p>
        </w:tc>
      </w:tr>
      <w:tr>
        <w:trPr/>
        <w:tc>
          <w:tcPr>
            <w:tcW w:w="378" w:type="dxa"/>
            <w:vAlign w:val="center"/>
          </w:tcPr>
          <w:p>
            <w:pPr/>
            <w:r>
              <w:rPr>
                <w:sz w:val="16"/>
                <w:szCs w:val="16"/>
                <w:b w:val="1"/>
                <w:bCs w:val="1"/>
              </w:rPr>
              <w:t xml:space="preserve">5</w:t>
            </w:r>
          </w:p>
        </w:tc>
        <w:tc>
          <w:tcPr>
            <w:tcW w:w="2772" w:type="dxa"/>
            <w:vAlign w:val="center"/>
            <w:gridSpan w:val="2"/>
          </w:tcPr>
          <w:p>
            <w:pPr/>
            <w:r>
              <w:rPr>
                <w:sz w:val="16"/>
                <w:szCs w:val="16"/>
              </w:rPr>
              <w:t xml:space="preserve">Derste Bahsedilecek Olan Belirli Gün ve Haftalar</w:t>
            </w:r>
          </w:p>
        </w:tc>
        <w:tc>
          <w:tcPr>
            <w:tcW w:w="9450" w:type="dxa"/>
            <w:vAlign w:val="center"/>
          </w:tcPr>
          <w:p>
            <w:pPr/>
            <w:r>
              <w:rPr>
                <w:sz w:val="16"/>
                <w:szCs w:val="16"/>
                <w:b w:val="1"/>
                <w:bCs w:val="1"/>
              </w:rPr>
              <w:t xml:space="preserve">*İnsan Hakları ve Demokrasi Haftası
*Tutum, Yatırım ve Türk Malları Haftası</w:t>
            </w:r>
          </w:p>
        </w:tc>
      </w:tr>
      <w:tr>
        <w:trPr/>
        <w:tc>
          <w:tcPr>
            <w:tcW w:w="378" w:type="dxa"/>
            <w:vAlign w:val="center"/>
          </w:tcPr>
          <w:p>
            <w:pPr/>
            <w:r>
              <w:rPr>
                <w:sz w:val="16"/>
                <w:szCs w:val="16"/>
                <w:b w:val="1"/>
                <w:bCs w:val="1"/>
              </w:rPr>
              <w:t xml:space="preserve">6</w:t>
            </w:r>
          </w:p>
        </w:tc>
        <w:tc>
          <w:tcPr>
            <w:tcW w:w="2772" w:type="dxa"/>
            <w:vAlign w:val="center"/>
            <w:gridSpan w:val="2"/>
          </w:tcPr>
          <w:p>
            <w:pPr/>
            <w:r>
              <w:rPr>
                <w:sz w:val="16"/>
                <w:szCs w:val="16"/>
              </w:rPr>
              <w:t xml:space="preserve">Özet</w:t>
            </w:r>
          </w:p>
        </w:tc>
        <w:tc>
          <w:tcPr>
            <w:tcW w:w="9450" w:type="dxa"/>
            <w:vAlign w:val="center"/>
          </w:tcPr>
          <w:p>
            <w:pPr/>
            <w:r>
              <w:rPr>
                <w:sz w:val="16"/>
                <w:szCs w:val="16"/>
              </w:rPr>
              <w:t xml:space="preserve">Bu derste, yerli ve yabancı seyyahların seyahatnameleri aracılığıyla Osmanlı kültür, sanat ve estetik anlayışına örnekler verilecektir. Böylece öğrencilerin, farklı bakış açılarıyla Osmanlı toplumunu daha iyi anlamaları sağlanacaktır.</w:t>
            </w:r>
          </w:p>
        </w:tc>
      </w:tr>
      <w:tr>
        <w:trPr/>
        <w:tc>
          <w:tcPr>
            <w:tcW w:w="378" w:type="dxa"/>
            <w:vAlign w:val="center"/>
          </w:tcPr>
          <w:p>
            <w:pPr/>
            <w:r>
              <w:rPr>
                <w:sz w:val="16"/>
                <w:szCs w:val="16"/>
                <w:b w:val="1"/>
                <w:bCs w:val="1"/>
              </w:rPr>
              <w:t xml:space="preserve">7</w:t>
            </w:r>
          </w:p>
        </w:tc>
        <w:tc>
          <w:tcPr>
            <w:tcW w:w="2772" w:type="dxa"/>
            <w:vAlign w:val="center"/>
            <w:gridSpan w:val="2"/>
          </w:tcPr>
          <w:p>
            <w:pPr/>
            <w:r>
              <w:rPr>
                <w:sz w:val="16"/>
                <w:szCs w:val="16"/>
              </w:rPr>
              <w:t xml:space="preserve">Ödev</w:t>
            </w:r>
          </w:p>
        </w:tc>
        <w:tc>
          <w:tcPr>
            <w:tcW w:w="9450" w:type="dxa"/>
            <w:vAlign w:val="center"/>
          </w:tcPr>
          <w:p>
            <w:pPr/>
            <w:r>
              <w:rPr>
                <w:sz w:val="16"/>
                <w:szCs w:val="16"/>
              </w:rPr>
              <w:t xml:space="preserve">Öğrencilerden, Evliya Çelebi'nin Seyahatnamesi'nden bir bölüm okuyarak, Osmanlı şehir yaşamına dair gözlemlerini not almaları istenir.</w:t>
            </w:r>
          </w:p>
        </w:tc>
      </w:tr>
      <w:tr>
        <w:trPr/>
        <w:tc>
          <w:tcPr>
            <w:tcW w:w="" w:type="dxa"/>
            <w:shd w:val="clear" w:fill="bad090"/>
            <w:gridSpan w:val="4"/>
          </w:tcPr>
          <w:p>
            <w:pPr/>
            <w:r>
              <w:rPr>
                <w:sz w:val="18"/>
                <w:szCs w:val="18"/>
                <w:b w:val="1"/>
                <w:bCs w:val="1"/>
              </w:rPr>
              <w:t xml:space="preserve">	BÖLÜM 3</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Ölçme-Değerlendirme</w:t>
            </w:r>
          </w:p>
        </w:tc>
        <w:tc>
          <w:tcPr>
            <w:tcW w:w="9450" w:type="dxa"/>
            <w:vAlign w:val="center"/>
          </w:tcPr>
          <w:p>
            <w:pPr/>
            <w:r>
              <w:rPr>
                <w:sz w:val="16"/>
                <w:szCs w:val="16"/>
              </w:rPr>
              <w:t xml:space="preserve">Yerli ve yabancı seyyahların seyahatnamelerinin, Osmanlı kültür, sanat ve estetik anlayışını anlamamızdaki önemini açıklayınız.</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Dersin Diğer Derslerle İlişkisi</w:t>
            </w:r>
          </w:p>
        </w:tc>
        <w:tc>
          <w:tcPr>
            <w:tcW w:w="9450" w:type="dxa"/>
            <w:vAlign w:val="center"/>
          </w:tcPr>
          <w:p>
            <w:pPr/>
            <w:r>
              <w:rPr>
                <w:sz w:val="16"/>
                <w:szCs w:val="16"/>
              </w:rPr>
              <w:t xml:space="preserve">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trPr/>
        <w:tc>
          <w:tcPr>
            <w:tcW w:w="" w:type="dxa"/>
            <w:shd w:val="clear" w:fill="bad090"/>
            <w:gridSpan w:val="4"/>
          </w:tcPr>
          <w:p>
            <w:pPr/>
            <w:r>
              <w:rPr>
                <w:sz w:val="18"/>
                <w:szCs w:val="18"/>
                <w:b w:val="1"/>
                <w:bCs w:val="1"/>
              </w:rPr>
              <w:t xml:space="preserve">	BÖLÜM 4</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Planın uygulanmasına ilişkin açıklamalar</w:t>
            </w:r>
          </w:p>
        </w:tc>
        <w:tc>
          <w:tcPr>
            <w:tcW w:w="9450" w:type="dxa"/>
            <w:vAlign w:val="center"/>
          </w:tcPr>
          <w:p>
            <w:pPr/>
            <w:r>
              <w:rPr>
                <w:sz w:val="16"/>
                <w:szCs w:val="16"/>
              </w:rPr>
              <w:t xml:space="preserve">Zamanlamaya dikkat edilecek. Öğrencilerin seviye duruma göre ders akışı esnasında gerekli görülen uygulamalar yapılacak. Öğrencilerin tamamının katılımını sağlamak için gerekli hassasiyet gösterilecektir.</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Güvenlik Önlemleri</w:t>
            </w:r>
          </w:p>
        </w:tc>
        <w:tc>
          <w:tcPr>
            <w:tcW w:w="9450" w:type="dxa"/>
            <w:vAlign w:val="center"/>
          </w:tcPr>
          <w:p>
            <w:pPr/>
            <w:r>
              <w:rPr>
                <w:sz w:val="16"/>
                <w:szCs w:val="16"/>
              </w:rPr>
              <w:t xml:space="preserve">Sınıf ortamında öğrenciye zarar verebilecek açıkta elektrik bağlantı noktası, kesici eşya yüzeyleri, düşme tehlikesi olan asılı bir eşya vb. cisimler hızlıca kontrol edilecektir.</w:t>
            </w:r>
          </w:p>
        </w:tc>
      </w:tr>
    </w:tbl>
    <w:p>
      <w:pPr/>
      <w:r>
        <w:rPr/>
        <w:t xml:space="preserve"/>
      </w:r>
    </w:p>
    <w:tbl>
      <w:tblGrid>
        <w:gridCol w:w="6300" w:type="dxa"/>
        <w:gridCol w:w="6300" w:type="dxa"/>
      </w:tblGrid>
      <w:tblPr>
        <w:tblW w:w="0" w:type="auto"/>
        <w:tblLayout w:type="autofit"/>
        <w:bidiVisual w:val="0"/>
        <w:tblCellMar>
          <w:top w:w="40" w:type="dxa"/>
          <w:left w:w="40" w:type="dxa"/>
          <w:right w:w="40" w:type="dxa"/>
          <w:bottom w:w="40" w:type="dxa"/>
        </w:tblCellMar>
        <w:tblBorders>
          <w:top w:val="single" w:sz="0" w:color="ffffff"/>
          <w:left w:val="single" w:sz="0" w:color="ffffff"/>
          <w:right w:val="single" w:sz="0" w:color="ffffff"/>
          <w:bottom w:val="single" w:sz="0" w:color="ffffff"/>
          <w:insideH w:val="single" w:sz="0" w:color="ffffff"/>
          <w:insideV w:val="single" w:sz="0" w:color="ffffff"/>
        </w:tblBorders>
      </w:tblPr>
      <w:tr>
        <w:trPr/>
        <w:tc>
          <w:tcPr>
            <w:tcW w:w="6300" w:type="dxa"/>
          </w:tcPr>
          <w:p/>
        </w:tc>
        <w:tc>
          <w:tcPr>
            <w:tcW w:w="6300" w:type="dxa"/>
          </w:tcPr>
          <w:p>
            <w:pPr>
              <w:jc w:val="center"/>
            </w:pPr>
            <w:r>
              <w:rPr>
                <w:sz w:val="20"/>
                <w:szCs w:val="20"/>
              </w:rPr>
              <w:t xml:space="preserve">UYGUNDUR</w:t>
            </w:r>
          </w:p>
        </w:tc>
      </w:tr>
      <w:tr>
        <w:trPr/>
        <w:tc>
          <w:tcPr>
            <w:tcW w:w="6300" w:type="dxa"/>
          </w:tcPr>
          <w:p/>
        </w:tc>
        <w:tc>
          <w:tcPr>
            <w:tcW w:w="6300" w:type="dxa"/>
          </w:tcPr>
          <w:p>
            <w:pPr>
              <w:jc w:val="center"/>
            </w:pPr>
            <w:r>
              <w:rPr>
                <w:sz w:val="20"/>
                <w:szCs w:val="20"/>
              </w:rPr>
              <w:t xml:space="preserve">08/12/2025</w:t>
            </w:r>
          </w:p>
        </w:tc>
      </w:tr>
      <w:tr>
        <w:trPr/>
        <w:tc>
          <w:tcPr>
            <w:tcW w:w="6300" w:type="dxa"/>
          </w:tcPr>
          <w:p>
            <w:pPr>
              <w:jc w:val="center"/>
            </w:pPr>
            <w:r>
              <w:rPr>
                <w:sz w:val="20"/>
                <w:szCs w:val="20"/>
              </w:rPr>
              <w:t xml:space="preserve">Adem Güngör</w:t>
            </w:r>
          </w:p>
        </w:tc>
        <w:tc>
          <w:tcPr>
            <w:tcW w:w="6300" w:type="dxa"/>
          </w:tcPr>
          <w:p>
            <w:pPr>
              <w:jc w:val="center"/>
            </w:pPr>
            <w:r>
              <w:rPr>
                <w:sz w:val="20"/>
                <w:szCs w:val="20"/>
              </w:rPr>
              <w:t xml:space="preserve">Ümit BALBARS</w:t>
            </w:r>
          </w:p>
        </w:tc>
      </w:tr>
      <w:tr>
        <w:trPr/>
        <w:tc>
          <w:tcPr>
            <w:tcW w:w="6300" w:type="dxa"/>
          </w:tcPr>
          <w:p>
            <w:pPr>
              <w:jc w:val="center"/>
            </w:pPr>
            <w:r>
              <w:rPr>
                <w:sz w:val="20"/>
                <w:szCs w:val="20"/>
                <w:b w:val="1"/>
                <w:bCs w:val="1"/>
              </w:rPr>
              <w:t xml:space="preserve">Ders Öğretmeni</w:t>
            </w:r>
          </w:p>
        </w:tc>
        <w:tc>
          <w:tcPr>
            <w:tcW w:w="6300" w:type="dxa"/>
          </w:tcPr>
          <w:p>
            <w:pPr>
              <w:jc w:val="center"/>
            </w:pPr>
            <w:r>
              <w:rPr>
                <w:sz w:val="20"/>
                <w:szCs w:val="20"/>
                <w:b w:val="1"/>
                <w:bCs w:val="1"/>
              </w:rPr>
              <w:t xml:space="preserve">Okul Müdürü</w:t>
            </w:r>
          </w:p>
        </w:tc>
      </w:tr>
    </w:tbl>
    <w:sectPr>
      <w:pgSz w:orient="portrait" w:w="11905.511811023622" w:h="16837.79527559055"/>
      <w:pgMar w:top="300" w:right="800" w:bottom="150" w:left="80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2" w:usb2="00000000" w:usb3="00000000" w:csb0="0000009F" w:csb1="00000000"/>
  </w:font>
</w:fonts>
</file>

<file path=word/header1.xml>
</file>

<file path=word/header2.xml>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tr-TR" w:eastAsia="x-none" w:bidi="x-none"/>
  <w:zoom w:percent="100"/>
</w:settings>
</file>

<file path=word/styles.xml><?xml version="1.0" encoding="utf-8"?>
<w:styles xmlns:r="http://schemas.openxmlformats.org/officeDocument/2006/relationships" xmlns:w="http://schemas.openxmlformats.org/wordprocessingml/2006/main">
  <w:docDefaults>
    <w:rPrDefault>
      <w:rPr>
        <w:rFonts w:ascii="Arial Nova" w:hAnsi="Arial Nova" w:eastAsia="Arial Nova" w:cs="Arial Nova"/>
        <w:sz w:val="20"/>
        <w:szCs w:val="20"/>
        <w:lang w:val="tr-TR"/>
      </w:rPr>
    </w:rPrDefault>
  </w:docDefaults>
  <w:style w:type="paragraph" w:default="1" w:styleId="Normal">
    <w:name w:val="Normal"/>
    <w:pPr>
      <w:spacing w:after="0" w:line="360" w:lineRule="auto"/>
    </w:pPr>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ÖğretmenEvrak</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İnstagram @ogretmen_evrak</dc:creator>
  <dc:title>Günlük Plan Hazırlama Modülü - Öğretmen Evrak Uygulaması</dc:title>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dc:subject>Evraklarınızı otomatik hazırlar.</dc:subject>
  <cp:keywords>Öğretmen; Öğretmen Evrak; zümre; şök; Yıllık Plan; performans proje; kazanımlar; ödev kontrol</cp:keywords>
  <cp:category>Eğitim Uygulamaları; Eğitim Çözümleri</cp:category>
  <cp:lastModifiedBy>ÖğretmenEvrak</cp:lastModifiedBy>
  <dcterms:created xsi:type="dcterms:W3CDTF">2025-10-23T14:20:39+03:00</dcterms:created>
  <dcterms:modified xsi:type="dcterms:W3CDTF">2025-10-23T14:20:39+03:00</dcterms:modified>
</cp:coreProperties>
</file>

<file path=docProps/custom.xml><?xml version="1.0" encoding="utf-8"?>
<Properties xmlns="http://schemas.openxmlformats.org/officeDocument/2006/custom-properties" xmlns:vt="http://schemas.openxmlformats.org/officeDocument/2006/docPropsVTypes"/>
</file>