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pPr>
      <w:r>
        <w:rPr>
          <w:sz w:val="20"/>
          <w:szCs w:val="20"/>
          <w:b w:val="1"/>
          <w:bCs w:val="1"/>
        </w:rPr>
        <w:t xml:space="preserve">ILICALAR ŞEHİT MANSUR SALCAN  ORTAOKULU</w:t>
      </w:r>
    </w:p>
    <w:p>
      <w:pPr>
        <w:jc w:val="center"/>
      </w:pPr>
      <w:r>
        <w:rPr>
          <w:sz w:val="20"/>
          <w:szCs w:val="20"/>
          <w:b w:val="1"/>
          <w:bCs w:val="1"/>
        </w:rPr>
        <w:t xml:space="preserve">
8. SINIF T.C. İNKILAP TAR. DERSİ GÜNLÜK PLANI</w:t>
      </w:r>
    </w:p>
    <w:p>
      <w:pPr>
        <w:jc w:val="center"/>
      </w:pPr>
      <w:r>
        <w:rPr>
          <w:sz w:val="20"/>
          <w:szCs w:val="20"/>
          <w:b w:val="1"/>
          <w:bCs w:val="1"/>
        </w:rPr>
        <w:t xml:space="preserve">
19. HAFTA (02 - 06 Şubat)</w:t>
      </w:r>
    </w:p>
    <w:p>
      <w:pPr/>
      <w:r>
        <w:rPr/>
        <w:t xml:space="preserve"/>
      </w:r>
    </w:p>
    <w:tbl>
      <w:tblGrid>
        <w:gridCol w:w="378" w:type="dxa"/>
        <w:gridCol w:w="756" w:type="dxa"/>
        <w:gridCol w:w="2016" w:type="dxa"/>
        <w:gridCol w:w="9450" w:type="dxa"/>
      </w:tblGrid>
      <w:tblPr>
        <w:tblW w:w="0" w:type="auto"/>
        <w:tblLayout w:type="autofit"/>
        <w:bidiVisual w:val="0"/>
        <w:tblCellMar>
          <w:top w:w="80" w:type="dxa"/>
          <w:left w:w="80" w:type="dxa"/>
          <w:right w:w="80" w:type="dxa"/>
          <w:bottom w:w="80" w:type="dxa"/>
        </w:tblCellMar>
        <w:tblBorders>
          <w:top w:val="single" w:sz="8" w:color="6db7ce"/>
          <w:left w:val="single" w:sz="8" w:color="6db7ce"/>
          <w:right w:val="single" w:sz="8" w:color="6db7ce"/>
          <w:bottom w:val="single" w:sz="8" w:color="6db7ce"/>
          <w:insideH w:val="single" w:sz="8" w:color="6db7ce"/>
          <w:insideV w:val="single" w:sz="8" w:color="6db7ce"/>
        </w:tblBorders>
      </w:tblPr>
      <w:tr>
        <w:trPr/>
        <w:tc>
          <w:tcPr>
            <w:tcW w:w="" w:type="dxa"/>
            <w:shd w:val="clear" w:fill="bad090"/>
            <w:gridSpan w:val="4"/>
          </w:tcPr>
          <w:p>
            <w:pPr/>
            <w:r>
              <w:rPr>
                <w:sz w:val="18"/>
                <w:szCs w:val="18"/>
                <w:b w:val="1"/>
                <w:bCs w:val="1"/>
              </w:rPr>
              <w:t xml:space="preserve">	BÖLÜM 1</w:t>
            </w:r>
          </w:p>
        </w:tc>
      </w:tr>
      <w:tr>
        <w:trPr/>
        <w:tc>
          <w:tcPr>
            <w:tcW w:w="378" w:type="dxa"/>
            <w:vAlign w:val="center"/>
          </w:tcPr>
          <w:p>
            <w:pPr/>
            <w:r>
              <w:rPr>
                <w:sz w:val="18"/>
                <w:szCs w:val="18"/>
                <w:b w:val="1"/>
                <w:bCs w:val="1"/>
              </w:rPr>
              <w:t xml:space="preserve">1</w:t>
            </w:r>
          </w:p>
        </w:tc>
        <w:tc>
          <w:tcPr>
            <w:tcW w:w="2772" w:type="dxa"/>
            <w:vAlign w:val="center"/>
            <w:gridSpan w:val="2"/>
          </w:tcPr>
          <w:p>
            <w:pPr/>
            <w:r>
              <w:rPr>
                <w:sz w:val="18"/>
                <w:szCs w:val="18"/>
              </w:rPr>
              <w:t xml:space="preserve">Ünite</w:t>
            </w:r>
          </w:p>
        </w:tc>
        <w:tc>
          <w:tcPr>
            <w:tcW w:w="9450" w:type="dxa"/>
            <w:vAlign w:val="center"/>
          </w:tcPr>
          <w:p>
            <w:pPr/>
            <w:r>
              <w:rPr>
                <w:sz w:val="18"/>
                <w:szCs w:val="18"/>
                <w:b w:val="1"/>
                <w:bCs w:val="1"/>
              </w:rPr>
              <w:t xml:space="preserve">İTA.8.3 MİLLÎ BİR DESTAN: YA İSTİKLAL YA ÖLÜM!</w:t>
            </w:r>
          </w:p>
        </w:tc>
      </w:tr>
      <w:tr>
        <w:trPr/>
        <w:tc>
          <w:tcPr>
            <w:tcW w:w="378" w:type="dxa"/>
            <w:vAlign w:val="center"/>
          </w:tcPr>
          <w:p>
            <w:pPr/>
            <w:r>
              <w:rPr>
                <w:sz w:val="18"/>
                <w:szCs w:val="18"/>
                <w:b w:val="1"/>
                <w:bCs w:val="1"/>
              </w:rPr>
              <w:t xml:space="preserve">2</w:t>
            </w:r>
          </w:p>
        </w:tc>
        <w:tc>
          <w:tcPr>
            <w:tcW w:w="2772" w:type="dxa"/>
            <w:vAlign w:val="center"/>
            <w:gridSpan w:val="2"/>
          </w:tcPr>
          <w:p>
            <w:pPr/>
            <w:r>
              <w:rPr>
                <w:sz w:val="18"/>
                <w:szCs w:val="18"/>
              </w:rPr>
              <w:t xml:space="preserve">Önerilen Süre</w:t>
            </w:r>
          </w:p>
        </w:tc>
        <w:tc>
          <w:tcPr>
            <w:tcW w:w="9450" w:type="dxa"/>
            <w:vAlign w:val="center"/>
          </w:tcPr>
          <w:p>
            <w:pPr/>
            <w:r>
              <w:rPr>
                <w:sz w:val="18"/>
                <w:szCs w:val="18"/>
                <w:b w:val="1"/>
                <w:bCs w:val="1"/>
              </w:rPr>
              <w:t xml:space="preserve">2 Ders Saati</w:t>
            </w:r>
          </w:p>
        </w:tc>
      </w:tr>
      <w:tr>
        <w:trPr/>
        <w:tc>
          <w:tcPr>
            <w:tcW w:w="" w:type="dxa"/>
            <w:shd w:val="clear" w:fill="bad090"/>
            <w:gridSpan w:val="4"/>
          </w:tcPr>
          <w:p>
            <w:pPr/>
            <w:r>
              <w:rPr>
                <w:sz w:val="18"/>
                <w:szCs w:val="18"/>
                <w:b w:val="1"/>
                <w:bCs w:val="1"/>
              </w:rPr>
              <w:t xml:space="preserve">	BÖLÜM 2</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Kazanım</w:t>
            </w:r>
          </w:p>
        </w:tc>
        <w:tc>
          <w:tcPr>
            <w:tcW w:w="9450" w:type="dxa"/>
            <w:vAlign w:val="center"/>
          </w:tcPr>
          <w:p>
            <w:pPr/>
            <w:r>
              <w:rPr>
                <w:sz w:val="16"/>
                <w:szCs w:val="16"/>
                <w:b w:val="1"/>
                <w:bCs w:val="1"/>
              </w:rPr>
              <w:t xml:space="preserve">İTA.8.3.6. Lozan Antlaşması’nın sağladığı kazanımları analiz eder.</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Öğretme-Öğrenme Yöntem ve Teknikleri</w:t>
            </w:r>
          </w:p>
        </w:tc>
        <w:tc>
          <w:tcPr>
            <w:tcW w:w="9450" w:type="dxa"/>
            <w:vAlign w:val="center"/>
          </w:tcPr>
          <w:p>
            <w:pPr/>
            <w:r>
              <w:rPr>
                <w:sz w:val="16"/>
                <w:szCs w:val="16"/>
              </w:rPr>
              <w:t xml:space="preserve">Anlatım, Gösterim, Problem Çözme, Soru-Cevap, Örnek Olay, Beyin Fırtınası</w:t>
            </w:r>
          </w:p>
        </w:tc>
      </w:tr>
      <w:tr>
        <w:trPr/>
        <w:tc>
          <w:tcPr>
            <w:tcW w:w="378" w:type="dxa"/>
            <w:vAlign w:val="center"/>
          </w:tcPr>
          <w:p>
            <w:pPr/>
            <w:r>
              <w:rPr>
                <w:sz w:val="16"/>
                <w:szCs w:val="16"/>
                <w:b w:val="1"/>
                <w:bCs w:val="1"/>
              </w:rPr>
              <w:t xml:space="preserve">3</w:t>
            </w:r>
          </w:p>
        </w:tc>
        <w:tc>
          <w:tcPr>
            <w:tcW w:w="2772" w:type="dxa"/>
            <w:vAlign w:val="center"/>
            <w:gridSpan w:val="2"/>
          </w:tcPr>
          <w:p>
            <w:pPr/>
            <w:r>
              <w:rPr>
                <w:sz w:val="16"/>
                <w:szCs w:val="16"/>
              </w:rPr>
              <w:t xml:space="preserve">Kullanılan Eğitim Teknolojileri Araç-Gereçler</w:t>
            </w:r>
          </w:p>
        </w:tc>
        <w:tc>
          <w:tcPr>
            <w:tcW w:w="9450" w:type="dxa"/>
            <w:vAlign w:val="center"/>
          </w:tcPr>
          <w:p>
            <w:pPr/>
            <w:r>
              <w:rPr>
                <w:sz w:val="16"/>
                <w:szCs w:val="16"/>
              </w:rPr>
              <w:t xml:space="preserve">Ders Kitabı, Eba İçerikleri, Etkileşimli Tahta, Çeşitli Görsel ve İşitsel Materyaller, Ders İçeriğine Uygun Materyaller</w:t>
            </w:r>
          </w:p>
        </w:tc>
      </w:tr>
      <w:tr>
        <w:trPr/>
        <w:tc>
          <w:tcPr>
            <w:tcW w:w="378" w:type="dxa"/>
            <w:vAlign w:val="center"/>
          </w:tcPr>
          <w:p>
            <w:pPr/>
            <w:r>
              <w:rPr>
                <w:sz w:val="16"/>
                <w:szCs w:val="16"/>
                <w:b w:val="1"/>
                <w:bCs w:val="1"/>
              </w:rPr>
              <w:t xml:space="preserve">4</w:t>
            </w:r>
          </w:p>
        </w:tc>
        <w:tc>
          <w:tcPr>
            <w:tcW w:w="756" w:type="dxa"/>
            <w:textDirection w:val="btLr"/>
          </w:tcPr>
          <w:p>
            <w:pPr>
              <w:jc w:val="center"/>
            </w:pPr>
            <w:r>
              <w:rPr>
                <w:sz w:val="16"/>
                <w:szCs w:val="16"/>
              </w:rPr>
              <w:t xml:space="preserve">Öğrenme-Öğretme Etkinlikleri</w:t>
            </w:r>
          </w:p>
        </w:tc>
        <w:tc>
          <w:tcPr>
            <w:tcW w:w="2016" w:type="dxa"/>
            <w:vAlign w:val="center"/>
          </w:tcPr>
          <w:p>
            <w:pPr/>
            <w:r>
              <w:rPr>
                <w:sz w:val="16"/>
                <w:szCs w:val="16"/>
              </w:rPr>
              <w:t xml:space="preserve">a) Dikkat Çekme:</w:t>
            </w:r>
          </w:p>
          <w:p>
            <w:pPr/>
            <w:r>
              <w:rPr>
                <w:sz w:val="16"/>
                <w:szCs w:val="16"/>
              </w:rPr>
              <w:t xml:space="preserve">b) Güdüleme</w:t>
            </w:r>
          </w:p>
          <w:p>
            <w:pPr/>
            <w:r>
              <w:rPr>
                <w:sz w:val="16"/>
                <w:szCs w:val="16"/>
              </w:rPr>
              <w:t xml:space="preserve">c) Gözden geçirme:</w:t>
            </w:r>
          </w:p>
          <w:p>
            <w:pPr/>
            <w:r>
              <w:rPr>
                <w:sz w:val="16"/>
                <w:szCs w:val="16"/>
              </w:rPr>
              <w:t xml:space="preserve">d) Derse Geçiş:</w:t>
            </w:r>
          </w:p>
          <w:p>
            <w:pPr/>
            <w:r>
              <w:rPr>
                <w:sz w:val="16"/>
                <w:szCs w:val="16"/>
              </w:rPr>
              <w:t xml:space="preserve">e) Grupla Öğrenme Etkinlikleri:</w:t>
            </w:r>
          </w:p>
          <w:p>
            <w:pPr/>
            <w:r>
              <w:rPr>
                <w:sz w:val="16"/>
                <w:szCs w:val="16"/>
              </w:rPr>
              <w:t xml:space="preserve">f) Bireysel Öğrenme Etkinlikleri:</w:t>
            </w:r>
          </w:p>
        </w:tc>
        <w:tc>
          <w:tcPr>
            <w:tcW w:w="9450" w:type="dxa"/>
            <w:vAlign w:val="center"/>
          </w:tcPr>
          <w:p>
            <w:pPr/>
            <w:r>
              <w:rPr>
                <w:sz w:val="16"/>
                <w:szCs w:val="16"/>
                <w:b w:val="1"/>
                <w:bCs w:val="1"/>
              </w:rPr>
              <w:t xml:space="preserve">Giriş</w:t>
            </w:r>
          </w:p>
          <w:p>
            <w:pPr/>
            <w:r>
              <w:rPr>
                <w:sz w:val="16"/>
                <w:szCs w:val="16"/>
              </w:rPr>
              <w:t xml:space="preserve">• Geçen hafta işlenen Mudanya Ateşkes Antlaşması'nın, Lozan Konferansı'na giden yolu nasıl açtığı hatırlatılır.</w:t>
            </w:r>
          </w:p>
          <w:p>
            <w:pPr/>
            <w:r>
              <w:rPr>
                <w:sz w:val="16"/>
                <w:szCs w:val="16"/>
              </w:rPr>
              <w:t xml:space="preserve">• Bir ülkenin bağımsızlığı ve geleceği için uluslararası bir antlaşma neden bu kadar önemlidir sorusu ile dikkat çekilir.</w:t>
            </w:r>
          </w:p>
          <w:p>
            <w:pPr/>
            <w:r>
              <w:rPr>
                <w:sz w:val="16"/>
                <w:szCs w:val="16"/>
              </w:rPr>
              <w:t xml:space="preserve">• Yeni kurulan Türkiye Devleti'nin, tüm dünyaya kendini kabul ettirmesi nasıl mümkün olmuştur sorusu öğrencilere yöneltilir.</w:t>
            </w:r>
          </w:p>
          <w:p>
            <w:pPr/>
            <w:r>
              <w:rPr>
                <w:sz w:val="16"/>
                <w:szCs w:val="16"/>
                <w:b w:val="1"/>
                <w:bCs w:val="1"/>
              </w:rPr>
              <w:t xml:space="preserve">Geliştirme - Uygulama</w:t>
            </w:r>
          </w:p>
          <w:p>
            <w:pPr/>
            <w:r>
              <w:rPr>
                <w:sz w:val="16"/>
                <w:szCs w:val="16"/>
              </w:rPr>
              <w:t xml:space="preserve">• Lozan Konferansı'na giden süreç ve Mudanya Ateşkes Antlaşması'nın önemi kısaca hatırlatılır.</w:t>
            </w:r>
          </w:p>
          <w:p>
            <w:pPr/>
            <w:r>
              <w:rPr>
                <w:sz w:val="16"/>
                <w:szCs w:val="16"/>
              </w:rPr>
              <w:t xml:space="preserve">• Türkiye Büyük Millet Meclisi Hükûmeti'nin Lozan Konferansı'na katılım amacı ve beklentileri açıklanır.</w:t>
            </w:r>
          </w:p>
          <w:p>
            <w:pPr/>
            <w:r>
              <w:rPr>
                <w:sz w:val="16"/>
                <w:szCs w:val="16"/>
              </w:rPr>
              <w:t xml:space="preserve">• Konferansa katılan devletler ve temsilcileri, özellikle İsmet İnönü'nün rolü üzerinde durulur.</w:t>
            </w:r>
          </w:p>
          <w:p>
            <w:pPr/>
            <w:r>
              <w:rPr>
                <w:sz w:val="16"/>
                <w:szCs w:val="16"/>
              </w:rPr>
              <w:t xml:space="preserve">• Lozan Konferansı'nda tartışılan başlıca konular (sınırlar, kapitülasyonlar, azınlıklar, borçlar) belirtilir.</w:t>
            </w:r>
          </w:p>
          <w:p>
            <w:pPr/>
            <w:r>
              <w:rPr>
                <w:sz w:val="16"/>
                <w:szCs w:val="16"/>
              </w:rPr>
              <w:t xml:space="preserve">• Kapitülasyonların kaldırılmasının, ekonomik bağımsızlık için ne anlama geldiği vurgulanır.</w:t>
            </w:r>
          </w:p>
          <w:p>
            <w:pPr/>
            <w:r>
              <w:rPr>
                <w:sz w:val="16"/>
                <w:szCs w:val="16"/>
              </w:rPr>
              <w:t xml:space="preserve">• Azınlıklar meselesinin çözümü ve Türkiye'nin iç işlerine karışılmasının engellenmesi açıklanır.</w:t>
            </w:r>
          </w:p>
          <w:p>
            <w:pPr/>
            <w:r>
              <w:rPr>
                <w:sz w:val="16"/>
                <w:szCs w:val="16"/>
              </w:rPr>
              <w:t xml:space="preserve">• Osmanlı borçları konusundaki görüşmeler ve Türkiye'nin bu konudaki tutumu anlatılır.</w:t>
            </w:r>
          </w:p>
          <w:p>
            <w:pPr/>
            <w:r>
              <w:rPr>
                <w:sz w:val="16"/>
                <w:szCs w:val="16"/>
              </w:rPr>
              <w:t xml:space="preserve">• Boğazlar meselesinin uluslararası statüsü ve Türkiye'nin egemenlik hakları üzerindeki etkisi incelenir.</w:t>
            </w:r>
          </w:p>
          <w:p>
            <w:pPr/>
            <w:r>
              <w:rPr>
                <w:sz w:val="16"/>
                <w:szCs w:val="16"/>
              </w:rPr>
              <w:t xml:space="preserve">• Sınırlarımızın belirlenmesi, özellikle Musul meselesinin konferanstaki durumu açıklanır.</w:t>
            </w:r>
          </w:p>
          <w:p>
            <w:pPr/>
            <w:r>
              <w:rPr>
                <w:sz w:val="16"/>
                <w:szCs w:val="16"/>
              </w:rPr>
              <w:t xml:space="preserve">• Konferansın kesintiye uğraması ve ikinci dönem görüşmelerinin nedenleri üzerinde durulur.</w:t>
            </w:r>
          </w:p>
          <w:p>
            <w:pPr/>
            <w:r>
              <w:rPr>
                <w:sz w:val="16"/>
                <w:szCs w:val="16"/>
              </w:rPr>
              <w:t xml:space="preserve">• İsmet İnönü'nün diplomatik yeteneği ve Türkiye'nin çıkarlarını korumadaki kararlılığı vurgulanır.</w:t>
            </w:r>
          </w:p>
          <w:p>
            <w:pPr/>
            <w:r>
              <w:rPr>
                <w:sz w:val="16"/>
                <w:szCs w:val="16"/>
              </w:rPr>
              <w:t xml:space="preserve">• Lozan Antlaşması'nın imzalanma tarihi ve antlaşmanın genel içeriği öğrencilere aktarılır.</w:t>
            </w:r>
          </w:p>
          <w:p>
            <w:pPr/>
            <w:r>
              <w:rPr>
                <w:sz w:val="16"/>
                <w:szCs w:val="16"/>
              </w:rPr>
              <w:t xml:space="preserve">• Antlaşmanın, yeni Türk Devleti'nin uluslararası alanda tanınmasını sağladığı belirtilir.</w:t>
            </w:r>
          </w:p>
          <w:p>
            <w:pPr/>
            <w:r>
              <w:rPr>
                <w:sz w:val="16"/>
                <w:szCs w:val="16"/>
              </w:rPr>
              <w:t xml:space="preserve">• Lozan'ın, Türkiye Cumhuriyeti'nin tam bağımsızlığını ve egemenliğini tescil eden bir belge olduğu açıklanır.</w:t>
            </w:r>
          </w:p>
          <w:p>
            <w:pPr/>
            <w:r>
              <w:rPr>
                <w:sz w:val="16"/>
                <w:szCs w:val="16"/>
              </w:rPr>
              <w:t xml:space="preserve">• Öğrencilerden, Lozan Antlaşması'nın Türkiye için neden 'tapu senedi' olarak nitelendirildiğini düşünmeleri istenir.</w:t>
            </w:r>
          </w:p>
          <w:p>
            <w:pPr/>
            <w:r>
              <w:rPr>
                <w:sz w:val="16"/>
                <w:szCs w:val="16"/>
                <w:b w:val="1"/>
                <w:bCs w:val="1"/>
              </w:rPr>
              <w:t xml:space="preserve">Pekiştirme</w:t>
            </w:r>
          </w:p>
          <w:p>
            <w:pPr/>
            <w:r>
              <w:rPr>
                <w:sz w:val="16"/>
                <w:szCs w:val="16"/>
              </w:rPr>
              <w:t xml:space="preserve">• Lozan Antlaşması'nın, Türkiye Cumhuriyeti'nin kuruluşunda ve geleceğinde neden bu kadar önemli olduğu tartışılır.</w:t>
            </w:r>
          </w:p>
          <w:p>
            <w:pPr/>
            <w:r>
              <w:rPr>
                <w:sz w:val="16"/>
                <w:szCs w:val="16"/>
              </w:rPr>
              <w:t xml:space="preserve">• Kapitülasyonların kaldırılmasının, Türkiye'nin ekonomik bağımsızlığına katkısı üzerine konuşulur.</w:t>
            </w:r>
          </w:p>
          <w:p>
            <w:pPr/>
            <w:r>
              <w:rPr>
                <w:sz w:val="16"/>
                <w:szCs w:val="16"/>
              </w:rPr>
              <w:t xml:space="preserve">• Öğrencilere, 'Lozan Antlaşması'nın günümüz Türkiye'si için hala geçerli olan kazanımları nelerdir?' sorusu yöneltilir.</w:t>
            </w:r>
          </w:p>
          <w:p>
            <w:pPr/>
            <w:r>
              <w:rPr>
                <w:sz w:val="16"/>
                <w:szCs w:val="16"/>
              </w:rPr>
              <w:t xml:space="preserve">• Lozan Antlaşması'nın maddelerinden örnekler verilerek, bu maddelerin Türkiye'ye sağladığı faydalar açıklanır.</w:t>
            </w:r>
          </w:p>
          <w:p>
            <w:pPr/>
            <w:r>
              <w:rPr>
                <w:sz w:val="16"/>
                <w:szCs w:val="16"/>
                <w:b w:val="1"/>
                <w:bCs w:val="1"/>
              </w:rPr>
              <w:t xml:space="preserve">Kapanış ve Değerlendirme</w:t>
            </w:r>
          </w:p>
          <w:p>
            <w:pPr/>
            <w:r>
              <w:rPr>
                <w:sz w:val="16"/>
                <w:szCs w:val="16"/>
              </w:rPr>
              <w:t xml:space="preserve">• Lozan Antlaşması'nın Türkiye Cumhuriyeti'nin bağımsızlığını ve egemenliğini nasıl güvence altına aldığı açıklanır.</w:t>
            </w:r>
          </w:p>
          <w:p>
            <w:pPr/>
            <w:r>
              <w:rPr>
                <w:sz w:val="16"/>
                <w:szCs w:val="16"/>
              </w:rPr>
              <w:t xml:space="preserve">• Lozan Antlaşması'nın, kapitülasyonlar ve azınlıklar gibi önemli sorunlara getirdiği çözümler nelerdir?</w:t>
            </w:r>
          </w:p>
          <w:p>
            <w:pPr/>
            <w:r>
              <w:rPr>
                <w:sz w:val="16"/>
                <w:szCs w:val="16"/>
              </w:rPr>
              <w:t xml:space="preserve">• Bugünkü dersimizde, Lozan Antlaşması'nın imzalanma süreci ve Türkiye'ye sağladığı kazanımlar incelenmiştir.</w:t>
            </w:r>
          </w:p>
          <w:p>
            <w:pPr/>
            <w:r>
              <w:rPr>
                <w:sz w:val="16"/>
                <w:szCs w:val="16"/>
              </w:rPr>
              <w:t xml:space="preserve">• Lozan Antlaşması'nın, yeni Türk Devleti'nin uluslararası alandaki varlığını tescil ettiği vurgulanır.</w:t>
            </w:r>
          </w:p>
          <w:p>
            <w:pPr/>
            <w:r>
              <w:rPr>
                <w:sz w:val="16"/>
                <w:szCs w:val="16"/>
              </w:rPr>
              <w:t xml:space="preserve">• Öğrencilere derse katılımları için teşekkür edilerek, bir sonraki ders için hazırlık yapmaları hatırlatılır.</w:t>
            </w:r>
          </w:p>
        </w:tc>
      </w:tr>
      <w:tr>
        <w:trPr/>
        <w:tc>
          <w:tcPr>
            <w:tcW w:w="378" w:type="dxa"/>
            <w:vAlign w:val="center"/>
          </w:tcPr>
          <w:p>
            <w:pPr/>
            <w:r>
              <w:rPr>
                <w:sz w:val="16"/>
                <w:szCs w:val="16"/>
                <w:b w:val="1"/>
                <w:bCs w:val="1"/>
              </w:rPr>
              <w:t xml:space="preserve">5</w:t>
            </w:r>
          </w:p>
        </w:tc>
        <w:tc>
          <w:tcPr>
            <w:tcW w:w="2772" w:type="dxa"/>
            <w:vAlign w:val="center"/>
            <w:gridSpan w:val="2"/>
          </w:tcPr>
          <w:p>
            <w:pPr/>
            <w:r>
              <w:rPr>
                <w:sz w:val="16"/>
                <w:szCs w:val="16"/>
              </w:rPr>
              <w:t xml:space="preserve">Derste Bahsedilecek Olan Belirli Gün ve Haftalar</w:t>
            </w:r>
          </w:p>
        </w:tc>
        <w:tc>
          <w:tcPr>
            <w:tcW w:w="9450" w:type="dxa"/>
            <w:vAlign w:val="center"/>
          </w:tcPr>
          <w:p>
            <w:pPr/>
            <w:r>
              <w:rPr>
                <w:sz w:val="16"/>
                <w:szCs w:val="16"/>
                <w:b w:val="1"/>
                <w:bCs w:val="1"/>
              </w:rPr>
              <w:t xml:space="preserve"/>
            </w:r>
          </w:p>
        </w:tc>
      </w:tr>
      <w:tr>
        <w:trPr/>
        <w:tc>
          <w:tcPr>
            <w:tcW w:w="378" w:type="dxa"/>
            <w:vAlign w:val="center"/>
          </w:tcPr>
          <w:p>
            <w:pPr/>
            <w:r>
              <w:rPr>
                <w:sz w:val="16"/>
                <w:szCs w:val="16"/>
                <w:b w:val="1"/>
                <w:bCs w:val="1"/>
              </w:rPr>
              <w:t xml:space="preserve">6</w:t>
            </w:r>
          </w:p>
        </w:tc>
        <w:tc>
          <w:tcPr>
            <w:tcW w:w="2772" w:type="dxa"/>
            <w:vAlign w:val="center"/>
            <w:gridSpan w:val="2"/>
          </w:tcPr>
          <w:p>
            <w:pPr/>
            <w:r>
              <w:rPr>
                <w:sz w:val="16"/>
                <w:szCs w:val="16"/>
              </w:rPr>
              <w:t xml:space="preserve">Özet</w:t>
            </w:r>
          </w:p>
        </w:tc>
        <w:tc>
          <w:tcPr>
            <w:tcW w:w="9450" w:type="dxa"/>
            <w:vAlign w:val="center"/>
          </w:tcPr>
          <w:p>
            <w:pPr/>
            <w:r>
              <w:rPr>
                <w:sz w:val="16"/>
                <w:szCs w:val="16"/>
              </w:rPr>
              <w:t xml:space="preserve">Bu derste, Lozan Antlaşması'nın imzalanma süreci ve uluslararası alandaki önemi kavranacak. Antlaşmanın, yeni Türk Devleti'nin tam bağımsızlığını ve egemenliğini tescil ettiği analiz edilecek. Ayrıca, Lozan'ın Türkiye Cumhuriyeti'ne sağladığı temel kazanımlar detaylıca incelenecek.</w:t>
            </w:r>
          </w:p>
        </w:tc>
      </w:tr>
      <w:tr>
        <w:trPr/>
        <w:tc>
          <w:tcPr>
            <w:tcW w:w="378" w:type="dxa"/>
            <w:vAlign w:val="center"/>
          </w:tcPr>
          <w:p>
            <w:pPr/>
            <w:r>
              <w:rPr>
                <w:sz w:val="16"/>
                <w:szCs w:val="16"/>
                <w:b w:val="1"/>
                <w:bCs w:val="1"/>
              </w:rPr>
              <w:t xml:space="preserve">7</w:t>
            </w:r>
          </w:p>
        </w:tc>
        <w:tc>
          <w:tcPr>
            <w:tcW w:w="2772" w:type="dxa"/>
            <w:vAlign w:val="center"/>
            <w:gridSpan w:val="2"/>
          </w:tcPr>
          <w:p>
            <w:pPr/>
            <w:r>
              <w:rPr>
                <w:sz w:val="16"/>
                <w:szCs w:val="16"/>
              </w:rPr>
              <w:t xml:space="preserve">Ödev</w:t>
            </w:r>
          </w:p>
        </w:tc>
        <w:tc>
          <w:tcPr>
            <w:tcW w:w="9450" w:type="dxa"/>
            <w:vAlign w:val="center"/>
          </w:tcPr>
          <w:p>
            <w:pPr/>
            <w:r>
              <w:rPr>
                <w:sz w:val="16"/>
                <w:szCs w:val="16"/>
              </w:rPr>
              <w:t xml:space="preserve">Lozan Antlaşması'nın Türkiye Cumhuriyeti'nin bağımsızlığını nasıl güvence altına aldığını araştırınız ve bir rapor hazırlayınız.</w:t>
            </w:r>
          </w:p>
        </w:tc>
      </w:tr>
      <w:tr>
        <w:trPr/>
        <w:tc>
          <w:tcPr>
            <w:tcW w:w="" w:type="dxa"/>
            <w:shd w:val="clear" w:fill="bad090"/>
            <w:gridSpan w:val="4"/>
          </w:tcPr>
          <w:p>
            <w:pPr/>
            <w:r>
              <w:rPr>
                <w:sz w:val="18"/>
                <w:szCs w:val="18"/>
                <w:b w:val="1"/>
                <w:bCs w:val="1"/>
              </w:rPr>
              <w:t xml:space="preserve">	BÖLÜM 3</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Ölçme-Değerlendirme</w:t>
            </w:r>
          </w:p>
        </w:tc>
        <w:tc>
          <w:tcPr>
            <w:tcW w:w="9450" w:type="dxa"/>
            <w:vAlign w:val="center"/>
          </w:tcPr>
          <w:p>
            <w:pPr/>
            <w:r>
              <w:rPr>
                <w:sz w:val="16"/>
                <w:szCs w:val="16"/>
              </w:rPr>
              <w:t xml:space="preserve">Lozan Antlaşması'nın kapitülasyonlar, azınlıklar ve Osmanlı borçları gibi konularda Türkiye'ye sağladığı kazanımları açıklayınız.</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Dersin Diğer Derslerle İlişkisi</w:t>
            </w:r>
          </w:p>
        </w:tc>
        <w:tc>
          <w:tcPr>
            <w:tcW w:w="9450" w:type="dxa"/>
            <w:vAlign w:val="center"/>
          </w:tcPr>
          <w:p>
            <w:pPr/>
            <w:r>
              <w:rPr>
                <w:sz w:val="16"/>
                <w:szCs w:val="16"/>
              </w:rPr>
              <w:t xml:space="preserve">Konu Akışında diğer derslerle ilgi kurulabilecek noktalarda o derslere atıf yapılarak ilişkilendirilir. Öğrencinin farklı bakış açıları ile konuya bakması sağlanır.  Belirlenen günlük plan sınıfın ihtiyaçlarına göre değişiklik gösterebilir.</w:t>
            </w:r>
          </w:p>
        </w:tc>
      </w:tr>
      <w:tr>
        <w:trPr/>
        <w:tc>
          <w:tcPr>
            <w:tcW w:w="" w:type="dxa"/>
            <w:shd w:val="clear" w:fill="bad090"/>
            <w:gridSpan w:val="4"/>
          </w:tcPr>
          <w:p>
            <w:pPr/>
            <w:r>
              <w:rPr>
                <w:sz w:val="18"/>
                <w:szCs w:val="18"/>
                <w:b w:val="1"/>
                <w:bCs w:val="1"/>
              </w:rPr>
              <w:t xml:space="preserve">	BÖLÜM 4</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Planın uygulanmasına ilişkin açıklamalar</w:t>
            </w:r>
          </w:p>
        </w:tc>
        <w:tc>
          <w:tcPr>
            <w:tcW w:w="9450" w:type="dxa"/>
            <w:vAlign w:val="center"/>
          </w:tcPr>
          <w:p>
            <w:pPr/>
            <w:r>
              <w:rPr>
                <w:sz w:val="16"/>
                <w:szCs w:val="16"/>
              </w:rPr>
              <w:t xml:space="preserve">Zamanlamaya dikkat edilecek. Öğrencilerin seviye duruma göre ders akışı esnasında gerekli görülen uygulamalar yapılacak. Öğrencilerin tamamının katılımını sağlamak için gerekli hassasiyet gösterilecektir.</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Güvenlik Önlemleri</w:t>
            </w:r>
          </w:p>
        </w:tc>
        <w:tc>
          <w:tcPr>
            <w:tcW w:w="9450" w:type="dxa"/>
            <w:vAlign w:val="center"/>
          </w:tcPr>
          <w:p>
            <w:pPr/>
            <w:r>
              <w:rPr>
                <w:sz w:val="16"/>
                <w:szCs w:val="16"/>
              </w:rPr>
              <w:t xml:space="preserve">Sınıf ortamında öğrenciye zarar verebilecek açıkta elektrik bağlantı noktası, kesici eşya yüzeyleri, düşme tehlikesi olan asılı bir eşya vb. cisimler hızlıca kontrol edilecektir.</w:t>
            </w:r>
          </w:p>
        </w:tc>
      </w:tr>
    </w:tbl>
    <w:p>
      <w:pPr/>
      <w:r>
        <w:rPr/>
        <w:t xml:space="preserve"/>
      </w:r>
    </w:p>
    <w:tbl>
      <w:tblGrid>
        <w:gridCol w:w="6300" w:type="dxa"/>
        <w:gridCol w:w="6300" w:type="dxa"/>
      </w:tblGrid>
      <w:tblPr>
        <w:tblW w:w="0" w:type="auto"/>
        <w:tblLayout w:type="autofit"/>
        <w:bidiVisual w:val="0"/>
        <w:tblCellMar>
          <w:top w:w="40" w:type="dxa"/>
          <w:left w:w="40" w:type="dxa"/>
          <w:right w:w="40" w:type="dxa"/>
          <w:bottom w:w="40" w:type="dxa"/>
        </w:tblCellMar>
        <w:tblBorders>
          <w:top w:val="single" w:sz="0" w:color="ffffff"/>
          <w:left w:val="single" w:sz="0" w:color="ffffff"/>
          <w:right w:val="single" w:sz="0" w:color="ffffff"/>
          <w:bottom w:val="single" w:sz="0" w:color="ffffff"/>
          <w:insideH w:val="single" w:sz="0" w:color="ffffff"/>
          <w:insideV w:val="single" w:sz="0" w:color="ffffff"/>
        </w:tblBorders>
      </w:tblPr>
      <w:tr>
        <w:trPr/>
        <w:tc>
          <w:tcPr>
            <w:tcW w:w="6300" w:type="dxa"/>
          </w:tcPr>
          <w:p/>
        </w:tc>
        <w:tc>
          <w:tcPr>
            <w:tcW w:w="6300" w:type="dxa"/>
          </w:tcPr>
          <w:p>
            <w:pPr>
              <w:jc w:val="center"/>
            </w:pPr>
            <w:r>
              <w:rPr>
                <w:sz w:val="20"/>
                <w:szCs w:val="20"/>
              </w:rPr>
              <w:t xml:space="preserve">UYGUNDUR</w:t>
            </w:r>
          </w:p>
        </w:tc>
      </w:tr>
      <w:tr>
        <w:trPr/>
        <w:tc>
          <w:tcPr>
            <w:tcW w:w="6300" w:type="dxa"/>
          </w:tcPr>
          <w:p/>
        </w:tc>
        <w:tc>
          <w:tcPr>
            <w:tcW w:w="6300" w:type="dxa"/>
          </w:tcPr>
          <w:p>
            <w:pPr>
              <w:jc w:val="center"/>
            </w:pPr>
            <w:r>
              <w:rPr>
                <w:sz w:val="20"/>
                <w:szCs w:val="20"/>
              </w:rPr>
              <w:t xml:space="preserve">02/02/2026</w:t>
            </w:r>
          </w:p>
        </w:tc>
      </w:tr>
      <w:tr>
        <w:trPr/>
        <w:tc>
          <w:tcPr>
            <w:tcW w:w="6300" w:type="dxa"/>
          </w:tcPr>
          <w:p>
            <w:pPr>
              <w:jc w:val="center"/>
            </w:pPr>
            <w:r>
              <w:rPr>
                <w:sz w:val="20"/>
                <w:szCs w:val="20"/>
              </w:rPr>
              <w:t xml:space="preserve">Adem Güngör</w:t>
            </w:r>
          </w:p>
        </w:tc>
        <w:tc>
          <w:tcPr>
            <w:tcW w:w="6300" w:type="dxa"/>
          </w:tcPr>
          <w:p>
            <w:pPr>
              <w:jc w:val="center"/>
            </w:pPr>
            <w:r>
              <w:rPr>
                <w:sz w:val="20"/>
                <w:szCs w:val="20"/>
              </w:rPr>
              <w:t xml:space="preserve">Ümit BALBARS</w:t>
            </w:r>
          </w:p>
        </w:tc>
      </w:tr>
      <w:tr>
        <w:trPr/>
        <w:tc>
          <w:tcPr>
            <w:tcW w:w="6300" w:type="dxa"/>
          </w:tcPr>
          <w:p>
            <w:pPr>
              <w:jc w:val="center"/>
            </w:pPr>
            <w:r>
              <w:rPr>
                <w:sz w:val="20"/>
                <w:szCs w:val="20"/>
                <w:b w:val="1"/>
                <w:bCs w:val="1"/>
              </w:rPr>
              <w:t xml:space="preserve">Ders Öğretmeni</w:t>
            </w:r>
          </w:p>
        </w:tc>
        <w:tc>
          <w:tcPr>
            <w:tcW w:w="6300" w:type="dxa"/>
          </w:tcPr>
          <w:p>
            <w:pPr>
              <w:jc w:val="center"/>
            </w:pPr>
            <w:r>
              <w:rPr>
                <w:sz w:val="20"/>
                <w:szCs w:val="20"/>
                <w:b w:val="1"/>
                <w:bCs w:val="1"/>
              </w:rPr>
              <w:t xml:space="preserve">Okul Müdürü</w:t>
            </w:r>
          </w:p>
        </w:tc>
      </w:tr>
    </w:tbl>
    <w:sectPr>
      <w:pgSz w:orient="portrait" w:w="11905.511811023622" w:h="16837.79527559055"/>
      <w:pgMar w:top="300" w:right="800" w:bottom="150" w:left="800" w:header="720" w:footer="720" w:gutter="0"/>
      <w:cols w:num="1" w:space="72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2" w:usb2="00000000" w:usb3="00000000" w:csb0="0000009F" w:csb1="00000000"/>
  </w:font>
</w:fonts>
</file>

<file path=word/header1.xml>
</file>

<file path=word/header2.xml>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tr-TR" w:eastAsia="x-none" w:bidi="x-none"/>
  <w:zoom w:percent="100"/>
</w:settings>
</file>

<file path=word/styles.xml><?xml version="1.0" encoding="utf-8"?>
<w:styles xmlns:r="http://schemas.openxmlformats.org/officeDocument/2006/relationships" xmlns:w="http://schemas.openxmlformats.org/wordprocessingml/2006/main">
  <w:docDefaults>
    <w:rPrDefault>
      <w:rPr>
        <w:rFonts w:ascii="Arial Nova" w:hAnsi="Arial Nova" w:eastAsia="Arial Nova" w:cs="Arial Nova"/>
        <w:sz w:val="20"/>
        <w:szCs w:val="20"/>
        <w:lang w:val="tr-TR"/>
      </w:rPr>
    </w:rPrDefault>
  </w:docDefaults>
  <w:style w:type="paragraph" w:default="1" w:styleId="Normal">
    <w:name w:val="Normal"/>
    <w:pPr>
      <w:spacing w:after="0" w:line="360" w:lineRule="auto"/>
    </w:pPr>
  </w:style>
  <w:style w:type="character" w:styleId="FootnoteReference">
    <w:name w:val="Footnote Reference"/>
    <w:semiHidden/>
    <w:unhideWhenUsed/>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ÖğretmenEvrak</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İnstagram @ogretmen_evrak</dc:creator>
  <dc:title>Günlük Plan Hazırlama Modülü - Öğretmen Evrak Uygulaması</dc:title>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dc:subject>Evraklarınızı otomatik hazırlar.</dc:subject>
  <cp:keywords>Öğretmen; Öğretmen Evrak; zümre; şök; Yıllık Plan; performans proje; kazanımlar; ödev kontrol</cp:keywords>
  <cp:category>Eğitim Uygulamaları; Eğitim Çözümleri</cp:category>
  <cp:lastModifiedBy>ÖğretmenEvrak</cp:lastModifiedBy>
  <dcterms:created xsi:type="dcterms:W3CDTF">2025-10-05T15:26:31+03:00</dcterms:created>
  <dcterms:modified xsi:type="dcterms:W3CDTF">2025-10-05T15:26:31+03:00</dcterms:modified>
</cp:coreProperties>
</file>

<file path=docProps/custom.xml><?xml version="1.0" encoding="utf-8"?>
<Properties xmlns="http://schemas.openxmlformats.org/officeDocument/2006/custom-properties" xmlns:vt="http://schemas.openxmlformats.org/officeDocument/2006/docPropsVTypes"/>
</file>