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pPr>
      <w:r>
        <w:rPr>
          <w:sz w:val="20"/>
          <w:szCs w:val="20"/>
          <w:b w:val="1"/>
          <w:bCs w:val="1"/>
        </w:rPr>
        <w:t xml:space="preserve">ILICALAR ŞEHİT MANSUR SALCAN  ORTAOKULU</w:t>
      </w:r>
    </w:p>
    <w:p>
      <w:pPr>
        <w:jc w:val="center"/>
      </w:pPr>
      <w:r>
        <w:rPr>
          <w:sz w:val="20"/>
          <w:szCs w:val="20"/>
          <w:b w:val="1"/>
          <w:bCs w:val="1"/>
        </w:rPr>
        <w:t xml:space="preserve">
8. SINIF T.C. İNKILAP TAR. DERSİ GÜNLÜK PLANI</w:t>
      </w:r>
    </w:p>
    <w:p>
      <w:pPr>
        <w:jc w:val="center"/>
      </w:pPr>
      <w:r>
        <w:rPr>
          <w:sz w:val="20"/>
          <w:szCs w:val="20"/>
          <w:b w:val="1"/>
          <w:bCs w:val="1"/>
        </w:rPr>
        <w:t xml:space="preserve">
23. HAFTA (02 - 06 Mart)</w:t>
      </w:r>
    </w:p>
    <w:p>
      <w:pPr/>
      <w:r>
        <w:rPr/>
        <w:t xml:space="preserve"/>
      </w:r>
    </w:p>
    <w:tbl>
      <w:tblGrid>
        <w:gridCol w:w="378" w:type="dxa"/>
        <w:gridCol w:w="756" w:type="dxa"/>
        <w:gridCol w:w="2016" w:type="dxa"/>
        <w:gridCol w:w="9450" w:type="dxa"/>
      </w:tblGrid>
      <w:tblPr>
        <w:tblW w:w="0" w:type="auto"/>
        <w:tblLayout w:type="autofit"/>
        <w:bidiVisual w:val="0"/>
        <w:tblCellMar>
          <w:top w:w="80" w:type="dxa"/>
          <w:left w:w="80" w:type="dxa"/>
          <w:right w:w="80" w:type="dxa"/>
          <w:bottom w:w="80" w:type="dxa"/>
        </w:tblCellMar>
        <w:tblBorders>
          <w:top w:val="single" w:sz="8" w:color="6db7ce"/>
          <w:left w:val="single" w:sz="8" w:color="6db7ce"/>
          <w:right w:val="single" w:sz="8" w:color="6db7ce"/>
          <w:bottom w:val="single" w:sz="8" w:color="6db7ce"/>
          <w:insideH w:val="single" w:sz="8" w:color="6db7ce"/>
          <w:insideV w:val="single" w:sz="8" w:color="6db7ce"/>
        </w:tblBorders>
      </w:tblPr>
      <w:tr>
        <w:trPr/>
        <w:tc>
          <w:tcPr>
            <w:tcW w:w="" w:type="dxa"/>
            <w:shd w:val="clear" w:fill="bad090"/>
            <w:gridSpan w:val="4"/>
          </w:tcPr>
          <w:p>
            <w:pPr/>
            <w:r>
              <w:rPr>
                <w:sz w:val="18"/>
                <w:szCs w:val="18"/>
                <w:b w:val="1"/>
                <w:bCs w:val="1"/>
              </w:rPr>
              <w:t xml:space="preserve">	BÖLÜM 1</w:t>
            </w:r>
          </w:p>
        </w:tc>
      </w:tr>
      <w:tr>
        <w:trPr/>
        <w:tc>
          <w:tcPr>
            <w:tcW w:w="378" w:type="dxa"/>
            <w:vAlign w:val="center"/>
          </w:tcPr>
          <w:p>
            <w:pPr/>
            <w:r>
              <w:rPr>
                <w:sz w:val="18"/>
                <w:szCs w:val="18"/>
                <w:b w:val="1"/>
                <w:bCs w:val="1"/>
              </w:rPr>
              <w:t xml:space="preserve">1</w:t>
            </w:r>
          </w:p>
        </w:tc>
        <w:tc>
          <w:tcPr>
            <w:tcW w:w="2772" w:type="dxa"/>
            <w:vAlign w:val="center"/>
            <w:gridSpan w:val="2"/>
          </w:tcPr>
          <w:p>
            <w:pPr/>
            <w:r>
              <w:rPr>
                <w:sz w:val="18"/>
                <w:szCs w:val="18"/>
              </w:rPr>
              <w:t xml:space="preserve">Ünite</w:t>
            </w:r>
          </w:p>
        </w:tc>
        <w:tc>
          <w:tcPr>
            <w:tcW w:w="9450" w:type="dxa"/>
            <w:vAlign w:val="center"/>
          </w:tcPr>
          <w:p>
            <w:pPr/>
            <w:r>
              <w:rPr>
                <w:sz w:val="18"/>
                <w:szCs w:val="18"/>
                <w:b w:val="1"/>
                <w:bCs w:val="1"/>
              </w:rPr>
              <w:t xml:space="preserve">İTA.8.4 ATATÜRKÇÜLÜK VE ÇAĞDAŞLAŞAN TÜRKİYE</w:t>
            </w:r>
          </w:p>
        </w:tc>
      </w:tr>
      <w:tr>
        <w:trPr/>
        <w:tc>
          <w:tcPr>
            <w:tcW w:w="378" w:type="dxa"/>
            <w:vAlign w:val="center"/>
          </w:tcPr>
          <w:p>
            <w:pPr/>
            <w:r>
              <w:rPr>
                <w:sz w:val="18"/>
                <w:szCs w:val="18"/>
                <w:b w:val="1"/>
                <w:bCs w:val="1"/>
              </w:rPr>
              <w:t xml:space="preserve">2</w:t>
            </w:r>
          </w:p>
        </w:tc>
        <w:tc>
          <w:tcPr>
            <w:tcW w:w="2772" w:type="dxa"/>
            <w:vAlign w:val="center"/>
            <w:gridSpan w:val="2"/>
          </w:tcPr>
          <w:p>
            <w:pPr/>
            <w:r>
              <w:rPr>
                <w:sz w:val="18"/>
                <w:szCs w:val="18"/>
              </w:rPr>
              <w:t xml:space="preserve">Önerilen Süre</w:t>
            </w:r>
          </w:p>
        </w:tc>
        <w:tc>
          <w:tcPr>
            <w:tcW w:w="9450" w:type="dxa"/>
            <w:vAlign w:val="center"/>
          </w:tcPr>
          <w:p>
            <w:pPr/>
            <w:r>
              <w:rPr>
                <w:sz w:val="18"/>
                <w:szCs w:val="18"/>
                <w:b w:val="1"/>
                <w:bCs w:val="1"/>
              </w:rPr>
              <w:t xml:space="preserve">2 Ders Saati</w:t>
            </w:r>
          </w:p>
        </w:tc>
      </w:tr>
      <w:tr>
        <w:trPr/>
        <w:tc>
          <w:tcPr>
            <w:tcW w:w="" w:type="dxa"/>
            <w:shd w:val="clear" w:fill="bad090"/>
            <w:gridSpan w:val="4"/>
          </w:tcPr>
          <w:p>
            <w:pPr/>
            <w:r>
              <w:rPr>
                <w:sz w:val="18"/>
                <w:szCs w:val="18"/>
                <w:b w:val="1"/>
                <w:bCs w:val="1"/>
              </w:rPr>
              <w:t xml:space="preserve">	BÖLÜM 2</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Kazanım</w:t>
            </w:r>
          </w:p>
        </w:tc>
        <w:tc>
          <w:tcPr>
            <w:tcW w:w="9450" w:type="dxa"/>
            <w:vAlign w:val="center"/>
          </w:tcPr>
          <w:p>
            <w:pPr/>
            <w:r>
              <w:rPr>
                <w:sz w:val="16"/>
                <w:szCs w:val="16"/>
                <w:b w:val="1"/>
                <w:bCs w:val="1"/>
              </w:rPr>
              <w:t xml:space="preserve">İTA.8.4.4. Eğitim ve kültür alanında yapılan inkılapları ve gelişmeleri kavrar.    (1 Saat) </w:t>
            </w:r>
          </w:p>
          <w:p>
            <w:pPr/>
            <w:r>
              <w:rPr>
                <w:sz w:val="16"/>
                <w:szCs w:val="16"/>
                <w:b w:val="1"/>
                <w:bCs w:val="1"/>
              </w:rPr>
              <w:t xml:space="preserve">İTA.8.4.5.  Toplumsal alanda yapılan inkılapları ve meydana gelen gelişmeleri kavrar. (1 Saat)</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Öğretme-Öğrenme Yöntem ve Teknikleri</w:t>
            </w:r>
          </w:p>
        </w:tc>
        <w:tc>
          <w:tcPr>
            <w:tcW w:w="9450" w:type="dxa"/>
            <w:vAlign w:val="center"/>
          </w:tcPr>
          <w:p>
            <w:pPr/>
            <w:r>
              <w:rPr>
                <w:sz w:val="16"/>
                <w:szCs w:val="16"/>
              </w:rPr>
              <w:t xml:space="preserve">Anlatım, Gösterim, Problem Çözme, Soru-Cevap, Örnek Olay, Beyin Fırtınası</w:t>
            </w:r>
          </w:p>
        </w:tc>
      </w:tr>
      <w:tr>
        <w:trPr/>
        <w:tc>
          <w:tcPr>
            <w:tcW w:w="378" w:type="dxa"/>
            <w:vAlign w:val="center"/>
          </w:tcPr>
          <w:p>
            <w:pPr/>
            <w:r>
              <w:rPr>
                <w:sz w:val="16"/>
                <w:szCs w:val="16"/>
                <w:b w:val="1"/>
                <w:bCs w:val="1"/>
              </w:rPr>
              <w:t xml:space="preserve">3</w:t>
            </w:r>
          </w:p>
        </w:tc>
        <w:tc>
          <w:tcPr>
            <w:tcW w:w="2772" w:type="dxa"/>
            <w:vAlign w:val="center"/>
            <w:gridSpan w:val="2"/>
          </w:tcPr>
          <w:p>
            <w:pPr/>
            <w:r>
              <w:rPr>
                <w:sz w:val="16"/>
                <w:szCs w:val="16"/>
              </w:rPr>
              <w:t xml:space="preserve">Kullanılan Eğitim Teknolojileri Araç-Gereçler</w:t>
            </w:r>
          </w:p>
        </w:tc>
        <w:tc>
          <w:tcPr>
            <w:tcW w:w="9450" w:type="dxa"/>
            <w:vAlign w:val="center"/>
          </w:tcPr>
          <w:p>
            <w:pPr/>
            <w:r>
              <w:rPr>
                <w:sz w:val="16"/>
                <w:szCs w:val="16"/>
              </w:rPr>
              <w:t xml:space="preserve">Ders Kitabı, Eba İçerikleri, Etkileşimli Tahta, Çeşitli Görsel ve İşitsel Materyaller, Ders İçeriğine Uygun Materyaller</w:t>
            </w:r>
          </w:p>
        </w:tc>
      </w:tr>
      <w:tr>
        <w:trPr/>
        <w:tc>
          <w:tcPr>
            <w:tcW w:w="378" w:type="dxa"/>
            <w:vAlign w:val="center"/>
          </w:tcPr>
          <w:p>
            <w:pPr/>
            <w:r>
              <w:rPr>
                <w:sz w:val="16"/>
                <w:szCs w:val="16"/>
                <w:b w:val="1"/>
                <w:bCs w:val="1"/>
              </w:rPr>
              <w:t xml:space="preserve">4</w:t>
            </w:r>
          </w:p>
        </w:tc>
        <w:tc>
          <w:tcPr>
            <w:tcW w:w="756" w:type="dxa"/>
            <w:textDirection w:val="btLr"/>
          </w:tcPr>
          <w:p>
            <w:pPr>
              <w:jc w:val="center"/>
            </w:pPr>
            <w:r>
              <w:rPr>
                <w:sz w:val="16"/>
                <w:szCs w:val="16"/>
              </w:rPr>
              <w:t xml:space="preserve">Öğrenme-Öğretme Etkinlikleri</w:t>
            </w:r>
          </w:p>
        </w:tc>
        <w:tc>
          <w:tcPr>
            <w:tcW w:w="2016" w:type="dxa"/>
            <w:vAlign w:val="center"/>
          </w:tcPr>
          <w:p>
            <w:pPr/>
            <w:r>
              <w:rPr>
                <w:sz w:val="16"/>
                <w:szCs w:val="16"/>
              </w:rPr>
              <w:t xml:space="preserve">a) Dikkat Çekme:</w:t>
            </w:r>
          </w:p>
          <w:p>
            <w:pPr/>
            <w:r>
              <w:rPr>
                <w:sz w:val="16"/>
                <w:szCs w:val="16"/>
              </w:rPr>
              <w:t xml:space="preserve">b) Güdüleme</w:t>
            </w:r>
          </w:p>
          <w:p>
            <w:pPr/>
            <w:r>
              <w:rPr>
                <w:sz w:val="16"/>
                <w:szCs w:val="16"/>
              </w:rPr>
              <w:t xml:space="preserve">c) Gözden geçirme:</w:t>
            </w:r>
          </w:p>
          <w:p>
            <w:pPr/>
            <w:r>
              <w:rPr>
                <w:sz w:val="16"/>
                <w:szCs w:val="16"/>
              </w:rPr>
              <w:t xml:space="preserve">d) Derse Geçiş:</w:t>
            </w:r>
          </w:p>
          <w:p>
            <w:pPr/>
            <w:r>
              <w:rPr>
                <w:sz w:val="16"/>
                <w:szCs w:val="16"/>
              </w:rPr>
              <w:t xml:space="preserve">e) Grupla Öğrenme Etkinlikleri:</w:t>
            </w:r>
          </w:p>
          <w:p>
            <w:pPr/>
            <w:r>
              <w:rPr>
                <w:sz w:val="16"/>
                <w:szCs w:val="16"/>
              </w:rPr>
              <w:t xml:space="preserve">f) Bireysel Öğrenme Etkinlikleri:</w:t>
            </w:r>
          </w:p>
        </w:tc>
        <w:tc>
          <w:tcPr>
            <w:tcW w:w="9450" w:type="dxa"/>
            <w:vAlign w:val="center"/>
          </w:tcPr>
          <w:p>
            <w:pPr/>
            <w:r>
              <w:rPr>
                <w:sz w:val="16"/>
                <w:szCs w:val="16"/>
                <w:b w:val="1"/>
                <w:bCs w:val="1"/>
              </w:rPr>
              <w:t xml:space="preserve">Giriş</w:t>
            </w:r>
          </w:p>
          <w:p>
            <w:pPr/>
            <w:r>
              <w:rPr>
                <w:sz w:val="16"/>
                <w:szCs w:val="16"/>
              </w:rPr>
              <w:t xml:space="preserve">• Eğitim ve kültür alanındaki yenilikler, bir ülkenin ilerlemesinde neden bu kadar önemlidir sorusuyla derse başlanır.</w:t>
            </w:r>
          </w:p>
          <w:p>
            <w:pPr/>
            <w:r>
              <w:rPr>
                <w:sz w:val="16"/>
                <w:szCs w:val="16"/>
              </w:rPr>
              <w:t xml:space="preserve">• Toplumsal hayatta yapılan köklü değişikliklerin, günlük yaşamımızı nasıl etkilediği öğrencilere sorulur.</w:t>
            </w:r>
          </w:p>
          <w:p>
            <w:pPr/>
            <w:r>
              <w:rPr>
                <w:sz w:val="16"/>
                <w:szCs w:val="16"/>
              </w:rPr>
              <w:t xml:space="preserve">• Bugünkü dersin, Atatürk dönemi eğitim, kültür ve toplumsal inkılaplarını ele alacağı belirtilir.</w:t>
            </w:r>
          </w:p>
          <w:p>
            <w:pPr/>
            <w:r>
              <w:rPr>
                <w:sz w:val="16"/>
                <w:szCs w:val="16"/>
                <w:b w:val="1"/>
                <w:bCs w:val="1"/>
              </w:rPr>
              <w:t xml:space="preserve">Geliştirme - Uygulama</w:t>
            </w:r>
          </w:p>
          <w:p>
            <w:pPr/>
            <w:r>
              <w:rPr>
                <w:sz w:val="16"/>
                <w:szCs w:val="16"/>
              </w:rPr>
              <w:t xml:space="preserve">• Tevhid-i Tedrisat Kanunu ile eğitimde birlik ve laikliğin sağlandığı açıklanır.</w:t>
            </w:r>
          </w:p>
          <w:p>
            <w:pPr/>
            <w:r>
              <w:rPr>
                <w:sz w:val="16"/>
                <w:szCs w:val="16"/>
              </w:rPr>
              <w:t xml:space="preserve">• Harf İnkılabı'nın okuryazarlık oranını artırarak çağdaşlaşmayı hızlandırdığı vurgulanır.</w:t>
            </w:r>
          </w:p>
          <w:p>
            <w:pPr/>
            <w:r>
              <w:rPr>
                <w:sz w:val="16"/>
                <w:szCs w:val="16"/>
              </w:rPr>
              <w:t xml:space="preserve">• Millet Mektepleri'nin, yeni harflerle okuma yazma öğretmek için kurulduğu belirtilir.</w:t>
            </w:r>
          </w:p>
          <w:p>
            <w:pPr/>
            <w:r>
              <w:rPr>
                <w:sz w:val="16"/>
                <w:szCs w:val="16"/>
              </w:rPr>
              <w:t xml:space="preserve">• Türk Tarih Kurumu'nun, ulusal tarih bilincini geliştirmek amacıyla oluşturulduğu anlatılır.</w:t>
            </w:r>
          </w:p>
          <w:p>
            <w:pPr/>
            <w:r>
              <w:rPr>
                <w:sz w:val="16"/>
                <w:szCs w:val="16"/>
              </w:rPr>
              <w:t xml:space="preserve">• Türk Dil Kurumu'nun, Türkçeyi yabancı etkilerden arındırarak zenginleştirdiği açıklanır.</w:t>
            </w:r>
          </w:p>
          <w:p>
            <w:pPr/>
            <w:r>
              <w:rPr>
                <w:sz w:val="16"/>
                <w:szCs w:val="16"/>
              </w:rPr>
              <w:t xml:space="preserve">• 1933 Üniversite Reformu ile bilimsel gelişme ve kalkınmaya verilen önem vurgulanır.</w:t>
            </w:r>
          </w:p>
          <w:p>
            <w:pPr/>
            <w:r>
              <w:rPr>
                <w:sz w:val="16"/>
                <w:szCs w:val="16"/>
              </w:rPr>
              <w:t xml:space="preserve">• Atatürk'ün güzel sanatlara ve spora verdiği değerin, toplumsal gelişime katkısı örneklerle açıklanır.</w:t>
            </w:r>
          </w:p>
          <w:p>
            <w:pPr/>
            <w:r>
              <w:rPr>
                <w:sz w:val="16"/>
                <w:szCs w:val="16"/>
              </w:rPr>
              <w:t xml:space="preserve">• Şapka ve kıyafet düzenlemelerinin, çağdaş bir görünüm kazandırmayı amaçladığı belirtilir.</w:t>
            </w:r>
          </w:p>
          <w:p>
            <w:pPr/>
            <w:r>
              <w:rPr>
                <w:sz w:val="16"/>
                <w:szCs w:val="16"/>
              </w:rPr>
              <w:t xml:space="preserve">• Tekke, zaviye ve türbelerin kapatılmasının, laiklik ilkesini güçlendirdiği anlatılır.</w:t>
            </w:r>
          </w:p>
          <w:p>
            <w:pPr/>
            <w:r>
              <w:rPr>
                <w:sz w:val="16"/>
                <w:szCs w:val="16"/>
              </w:rPr>
              <w:t xml:space="preserve">• Takvim, saat ve ölçülerdeki değişikliklerin, uluslararası standartlara uyumu sağladığı açıklanır.</w:t>
            </w:r>
          </w:p>
          <w:p>
            <w:pPr/>
            <w:r>
              <w:rPr>
                <w:sz w:val="16"/>
                <w:szCs w:val="16"/>
              </w:rPr>
              <w:t xml:space="preserve">• Soyadı Kanunu'nun, resmi işlemlerde kolaylık ve toplumsal eşitlik getirdiği vurgulanır.</w:t>
            </w:r>
          </w:p>
          <w:p>
            <w:pPr/>
            <w:r>
              <w:rPr>
                <w:sz w:val="16"/>
                <w:szCs w:val="16"/>
              </w:rPr>
              <w:t xml:space="preserve">• Türk kadınına eğitim alanında sağlanan hakların, fırsat eşitliğini artırdığı belirtilir.</w:t>
            </w:r>
          </w:p>
          <w:p>
            <w:pPr/>
            <w:r>
              <w:rPr>
                <w:sz w:val="16"/>
                <w:szCs w:val="16"/>
              </w:rPr>
              <w:t xml:space="preserve">• Kadınların sosyal ve kültürel alanlarda aktif rol almalarının teşvik edildiği anlatılır.</w:t>
            </w:r>
          </w:p>
          <w:p>
            <w:pPr/>
            <w:r>
              <w:rPr>
                <w:sz w:val="16"/>
                <w:szCs w:val="16"/>
              </w:rPr>
              <w:t xml:space="preserve">• Türk kadınına siyasi haklar verilmesinin, diğer ülkelerden önce gerçekleştiği karşılaştırılır.</w:t>
            </w:r>
          </w:p>
          <w:p>
            <w:pPr/>
            <w:r>
              <w:rPr>
                <w:sz w:val="16"/>
                <w:szCs w:val="16"/>
              </w:rPr>
              <w:t xml:space="preserve">• Öğrencilerden, yapılan inkılaplardan birinin kendi hayatlarına etkisini düşünmeleri istenir.</w:t>
            </w:r>
          </w:p>
          <w:p>
            <w:pPr/>
            <w:r>
              <w:rPr>
                <w:sz w:val="16"/>
                <w:szCs w:val="16"/>
                <w:b w:val="1"/>
                <w:bCs w:val="1"/>
              </w:rPr>
              <w:t xml:space="preserve">Pekiştirme</w:t>
            </w:r>
          </w:p>
          <w:p>
            <w:pPr/>
            <w:r>
              <w:rPr>
                <w:sz w:val="16"/>
                <w:szCs w:val="16"/>
              </w:rPr>
              <w:t xml:space="preserve">• Öğrencilerden, eğitim ve toplumsal alanda yapılan üç önemli inkılabı sıralamaları istenir.</w:t>
            </w:r>
          </w:p>
          <w:p>
            <w:pPr/>
            <w:r>
              <w:rPr>
                <w:sz w:val="16"/>
                <w:szCs w:val="16"/>
              </w:rPr>
              <w:t xml:space="preserve">• Harf İnkılabı'nın okuryazarlık oranına etkisi hakkında sınıfta kısa bir tartışma başlatılır.</w:t>
            </w:r>
          </w:p>
          <w:p>
            <w:pPr/>
            <w:r>
              <w:rPr>
                <w:sz w:val="16"/>
                <w:szCs w:val="16"/>
              </w:rPr>
              <w:t xml:space="preserve">• Türk kadınına verilen hakların, günümüzdeki kadınların hayatına etkileri üzerine konuşulur.</w:t>
            </w:r>
          </w:p>
          <w:p>
            <w:pPr/>
            <w:r>
              <w:rPr>
                <w:sz w:val="16"/>
                <w:szCs w:val="16"/>
              </w:rPr>
              <w:t xml:space="preserve">• Ders boyunca ele alınan inkılapların, çağdaş Türkiye'nin inşasındaki rolü tekrar vurgulanır.</w:t>
            </w:r>
          </w:p>
          <w:p>
            <w:pPr/>
            <w:r>
              <w:rPr>
                <w:sz w:val="16"/>
                <w:szCs w:val="16"/>
                <w:b w:val="1"/>
                <w:bCs w:val="1"/>
              </w:rPr>
              <w:t xml:space="preserve">Kapanış ve Değerlendirme</w:t>
            </w:r>
          </w:p>
          <w:p>
            <w:pPr/>
            <w:r>
              <w:rPr>
                <w:sz w:val="16"/>
                <w:szCs w:val="16"/>
              </w:rPr>
              <w:t xml:space="preserve">• Tevhid-i Tedrisat Kanunu'nun eğitim sistemine getirdiği temel değişiklikler nelerdir, açıklayınız?</w:t>
            </w:r>
          </w:p>
          <w:p>
            <w:pPr/>
            <w:r>
              <w:rPr>
                <w:sz w:val="16"/>
                <w:szCs w:val="16"/>
              </w:rPr>
              <w:t xml:space="preserve">• Soyadı Kanunu'nun kabulü, toplumsal hayatta ne gibi kolaylıklar sağlamıştır, örneklerle açıklayınız?</w:t>
            </w:r>
          </w:p>
          <w:p>
            <w:pPr/>
            <w:r>
              <w:rPr>
                <w:sz w:val="16"/>
                <w:szCs w:val="16"/>
              </w:rPr>
              <w:t xml:space="preserve">• Bugün, Türkiye Cumhuriyeti'nin eğitim, kültür ve toplumsal alandaki önemli dönüşümleri incelenmiştir.</w:t>
            </w:r>
          </w:p>
          <w:p>
            <w:pPr/>
            <w:r>
              <w:rPr>
                <w:sz w:val="16"/>
                <w:szCs w:val="16"/>
              </w:rPr>
              <w:t xml:space="preserve">• Öğrencilerin derse aktif katılımları ve gösterdikleri ilgi için içtenlikle teşekkür edildiği belirtilir.</w:t>
            </w:r>
          </w:p>
          <w:p>
            <w:pPr/>
            <w:r>
              <w:rPr>
                <w:sz w:val="16"/>
                <w:szCs w:val="16"/>
              </w:rPr>
              <w:t xml:space="preserve">• Bir sonraki derse hazırlıklı gelmeleri ve konuyu tekrar etmeleri öğrencilere önemle hatırlatılır.</w:t>
            </w:r>
          </w:p>
        </w:tc>
      </w:tr>
      <w:tr>
        <w:trPr/>
        <w:tc>
          <w:tcPr>
            <w:tcW w:w="378" w:type="dxa"/>
            <w:vAlign w:val="center"/>
          </w:tcPr>
          <w:p>
            <w:pPr/>
            <w:r>
              <w:rPr>
                <w:sz w:val="16"/>
                <w:szCs w:val="16"/>
                <w:b w:val="1"/>
                <w:bCs w:val="1"/>
              </w:rPr>
              <w:t xml:space="preserve">5</w:t>
            </w:r>
          </w:p>
        </w:tc>
        <w:tc>
          <w:tcPr>
            <w:tcW w:w="2772" w:type="dxa"/>
            <w:vAlign w:val="center"/>
            <w:gridSpan w:val="2"/>
          </w:tcPr>
          <w:p>
            <w:pPr/>
            <w:r>
              <w:rPr>
                <w:sz w:val="16"/>
                <w:szCs w:val="16"/>
              </w:rPr>
              <w:t xml:space="preserve">Derste Bahsedilecek Olan Belirli Gün ve Haftalar</w:t>
            </w:r>
          </w:p>
        </w:tc>
        <w:tc>
          <w:tcPr>
            <w:tcW w:w="9450" w:type="dxa"/>
            <w:vAlign w:val="center"/>
          </w:tcPr>
          <w:p>
            <w:pPr/>
            <w:r>
              <w:rPr>
                <w:sz w:val="16"/>
                <w:szCs w:val="16"/>
                <w:b w:val="1"/>
                <w:bCs w:val="1"/>
              </w:rPr>
              <w:t xml:space="preserve">*Dünya Kadınlar Günü
*Girişimcilik Haftası</w:t>
            </w:r>
          </w:p>
        </w:tc>
      </w:tr>
      <w:tr>
        <w:trPr/>
        <w:tc>
          <w:tcPr>
            <w:tcW w:w="378" w:type="dxa"/>
            <w:vAlign w:val="center"/>
          </w:tcPr>
          <w:p>
            <w:pPr/>
            <w:r>
              <w:rPr>
                <w:sz w:val="16"/>
                <w:szCs w:val="16"/>
                <w:b w:val="1"/>
                <w:bCs w:val="1"/>
              </w:rPr>
              <w:t xml:space="preserve">6</w:t>
            </w:r>
          </w:p>
        </w:tc>
        <w:tc>
          <w:tcPr>
            <w:tcW w:w="2772" w:type="dxa"/>
            <w:vAlign w:val="center"/>
            <w:gridSpan w:val="2"/>
          </w:tcPr>
          <w:p>
            <w:pPr/>
            <w:r>
              <w:rPr>
                <w:sz w:val="16"/>
                <w:szCs w:val="16"/>
              </w:rPr>
              <w:t xml:space="preserve">Özet</w:t>
            </w:r>
          </w:p>
        </w:tc>
        <w:tc>
          <w:tcPr>
            <w:tcW w:w="9450" w:type="dxa"/>
            <w:vAlign w:val="center"/>
          </w:tcPr>
          <w:p>
            <w:pPr/>
            <w:r>
              <w:rPr>
                <w:sz w:val="16"/>
                <w:szCs w:val="16"/>
              </w:rPr>
              <w:t xml:space="preserve">Bu derste, Atatürk döneminde eğitim, kültür ve toplumsal alanlarda yapılan önemli inkılaplar ele alınacak. Tevhid-i Tedrisat Kanunu'ndan Soyadı Kanunu'na kadar birçok yeniliğin amacı ve sonuçları incelenecek. Bu gelişmelerin, çağdaş Türkiye'nin inşasına nasıl katkı sağladığı vurgulanacak.</w:t>
            </w:r>
          </w:p>
        </w:tc>
      </w:tr>
      <w:tr>
        <w:trPr/>
        <w:tc>
          <w:tcPr>
            <w:tcW w:w="378" w:type="dxa"/>
            <w:vAlign w:val="center"/>
          </w:tcPr>
          <w:p>
            <w:pPr/>
            <w:r>
              <w:rPr>
                <w:sz w:val="16"/>
                <w:szCs w:val="16"/>
                <w:b w:val="1"/>
                <w:bCs w:val="1"/>
              </w:rPr>
              <w:t xml:space="preserve">7</w:t>
            </w:r>
          </w:p>
        </w:tc>
        <w:tc>
          <w:tcPr>
            <w:tcW w:w="2772" w:type="dxa"/>
            <w:vAlign w:val="center"/>
            <w:gridSpan w:val="2"/>
          </w:tcPr>
          <w:p>
            <w:pPr/>
            <w:r>
              <w:rPr>
                <w:sz w:val="16"/>
                <w:szCs w:val="16"/>
              </w:rPr>
              <w:t xml:space="preserve">Ödev</w:t>
            </w:r>
          </w:p>
        </w:tc>
        <w:tc>
          <w:tcPr>
            <w:tcW w:w="9450" w:type="dxa"/>
            <w:vAlign w:val="center"/>
          </w:tcPr>
          <w:p>
            <w:pPr/>
            <w:r>
              <w:rPr>
                <w:sz w:val="16"/>
                <w:szCs w:val="16"/>
              </w:rPr>
              <w:t xml:space="preserve">Atatürk döneminde eğitim veya toplumsal alanda yapılan bir inkılabı seçerek, günümüzdeki etkilerini araştırınız.</w:t>
            </w:r>
          </w:p>
        </w:tc>
      </w:tr>
      <w:tr>
        <w:trPr/>
        <w:tc>
          <w:tcPr>
            <w:tcW w:w="" w:type="dxa"/>
            <w:shd w:val="clear" w:fill="bad090"/>
            <w:gridSpan w:val="4"/>
          </w:tcPr>
          <w:p>
            <w:pPr/>
            <w:r>
              <w:rPr>
                <w:sz w:val="18"/>
                <w:szCs w:val="18"/>
                <w:b w:val="1"/>
                <w:bCs w:val="1"/>
              </w:rPr>
              <w:t xml:space="preserve">	BÖLÜM 3</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Ölçme-Değerlendirme</w:t>
            </w:r>
          </w:p>
        </w:tc>
        <w:tc>
          <w:tcPr>
            <w:tcW w:w="9450" w:type="dxa"/>
            <w:vAlign w:val="center"/>
          </w:tcPr>
          <w:p>
            <w:pPr/>
            <w:r>
              <w:rPr>
                <w:sz w:val="16"/>
                <w:szCs w:val="16"/>
              </w:rPr>
              <w:t xml:space="preserve">Türk kadınına tanınan siyasi hakların, toplumsal hayattaki yerini nasıl değiştirdiğini örneklerle açıklayınız.</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Dersin Diğer Derslerle İlişkisi</w:t>
            </w:r>
          </w:p>
        </w:tc>
        <w:tc>
          <w:tcPr>
            <w:tcW w:w="9450" w:type="dxa"/>
            <w:vAlign w:val="center"/>
          </w:tcPr>
          <w:p>
            <w:pPr/>
            <w:r>
              <w:rPr>
                <w:sz w:val="16"/>
                <w:szCs w:val="16"/>
              </w:rPr>
              <w:t xml:space="preserve">Konu Akışında diğer derslerle ilgi kurulabilecek noktalarda o derslere atıf yapılarak ilişkilendirilir. Öğrencinin farklı bakış açıları ile konuya bakması sağlanır.  Belirlenen günlük plan sınıfın ihtiyaçlarına göre değişiklik gösterebilir.</w:t>
            </w:r>
          </w:p>
        </w:tc>
      </w:tr>
      <w:tr>
        <w:trPr/>
        <w:tc>
          <w:tcPr>
            <w:tcW w:w="" w:type="dxa"/>
            <w:shd w:val="clear" w:fill="bad090"/>
            <w:gridSpan w:val="4"/>
          </w:tcPr>
          <w:p>
            <w:pPr/>
            <w:r>
              <w:rPr>
                <w:sz w:val="18"/>
                <w:szCs w:val="18"/>
                <w:b w:val="1"/>
                <w:bCs w:val="1"/>
              </w:rPr>
              <w:t xml:space="preserve">	BÖLÜM 4</w:t>
            </w:r>
          </w:p>
        </w:tc>
      </w:tr>
      <w:tr>
        <w:trPr/>
        <w:tc>
          <w:tcPr>
            <w:tcW w:w="378" w:type="dxa"/>
            <w:vAlign w:val="center"/>
          </w:tcPr>
          <w:p>
            <w:pPr/>
            <w:r>
              <w:rPr>
                <w:sz w:val="16"/>
                <w:szCs w:val="16"/>
                <w:b w:val="1"/>
                <w:bCs w:val="1"/>
              </w:rPr>
              <w:t xml:space="preserve">1</w:t>
            </w:r>
          </w:p>
        </w:tc>
        <w:tc>
          <w:tcPr>
            <w:tcW w:w="2772" w:type="dxa"/>
            <w:vAlign w:val="center"/>
            <w:gridSpan w:val="2"/>
          </w:tcPr>
          <w:p>
            <w:pPr/>
            <w:r>
              <w:rPr>
                <w:sz w:val="16"/>
                <w:szCs w:val="16"/>
              </w:rPr>
              <w:t xml:space="preserve">Planın uygulanmasına ilişkin açıklamalar</w:t>
            </w:r>
          </w:p>
        </w:tc>
        <w:tc>
          <w:tcPr>
            <w:tcW w:w="9450" w:type="dxa"/>
            <w:vAlign w:val="center"/>
          </w:tcPr>
          <w:p>
            <w:pPr/>
            <w:r>
              <w:rPr>
                <w:sz w:val="16"/>
                <w:szCs w:val="16"/>
              </w:rPr>
              <w:t xml:space="preserve">Zamanlamaya dikkat edilecek. Öğrencilerin seviye duruma göre ders akışı esnasında gerekli görülen uygulamalar yapılacak. Öğrencilerin tamamının katılımını sağlamak için gerekli hassasiyet gösterilecektir.</w:t>
            </w:r>
          </w:p>
        </w:tc>
      </w:tr>
      <w:tr>
        <w:trPr/>
        <w:tc>
          <w:tcPr>
            <w:tcW w:w="378" w:type="dxa"/>
            <w:vAlign w:val="center"/>
          </w:tcPr>
          <w:p>
            <w:pPr/>
            <w:r>
              <w:rPr>
                <w:sz w:val="16"/>
                <w:szCs w:val="16"/>
                <w:b w:val="1"/>
                <w:bCs w:val="1"/>
              </w:rPr>
              <w:t xml:space="preserve">2</w:t>
            </w:r>
          </w:p>
        </w:tc>
        <w:tc>
          <w:tcPr>
            <w:tcW w:w="2772" w:type="dxa"/>
            <w:vAlign w:val="center"/>
            <w:gridSpan w:val="2"/>
          </w:tcPr>
          <w:p>
            <w:pPr/>
            <w:r>
              <w:rPr>
                <w:sz w:val="16"/>
                <w:szCs w:val="16"/>
              </w:rPr>
              <w:t xml:space="preserve">Güvenlik Önlemleri</w:t>
            </w:r>
          </w:p>
        </w:tc>
        <w:tc>
          <w:tcPr>
            <w:tcW w:w="9450" w:type="dxa"/>
            <w:vAlign w:val="center"/>
          </w:tcPr>
          <w:p>
            <w:pPr/>
            <w:r>
              <w:rPr>
                <w:sz w:val="16"/>
                <w:szCs w:val="16"/>
              </w:rPr>
              <w:t xml:space="preserve">Sınıf ortamında öğrenciye zarar verebilecek açıkta elektrik bağlantı noktası, kesici eşya yüzeyleri, düşme tehlikesi olan asılı bir eşya vb. cisimler hızlıca kontrol edilecektir.</w:t>
            </w:r>
          </w:p>
        </w:tc>
      </w:tr>
    </w:tbl>
    <w:p>
      <w:pPr/>
      <w:r>
        <w:rPr/>
        <w:t xml:space="preserve"/>
      </w:r>
    </w:p>
    <w:tbl>
      <w:tblGrid>
        <w:gridCol w:w="6300" w:type="dxa"/>
        <w:gridCol w:w="6300" w:type="dxa"/>
      </w:tblGrid>
      <w:tblPr>
        <w:tblW w:w="0" w:type="auto"/>
        <w:tblLayout w:type="autofit"/>
        <w:bidiVisual w:val="0"/>
        <w:tblCellMar>
          <w:top w:w="40" w:type="dxa"/>
          <w:left w:w="40" w:type="dxa"/>
          <w:right w:w="40" w:type="dxa"/>
          <w:bottom w:w="40" w:type="dxa"/>
        </w:tblCellMar>
        <w:tblBorders>
          <w:top w:val="single" w:sz="0" w:color="ffffff"/>
          <w:left w:val="single" w:sz="0" w:color="ffffff"/>
          <w:right w:val="single" w:sz="0" w:color="ffffff"/>
          <w:bottom w:val="single" w:sz="0" w:color="ffffff"/>
          <w:insideH w:val="single" w:sz="0" w:color="ffffff"/>
          <w:insideV w:val="single" w:sz="0" w:color="ffffff"/>
        </w:tblBorders>
      </w:tblPr>
      <w:tr>
        <w:trPr/>
        <w:tc>
          <w:tcPr>
            <w:tcW w:w="6300" w:type="dxa"/>
          </w:tcPr>
          <w:p/>
        </w:tc>
        <w:tc>
          <w:tcPr>
            <w:tcW w:w="6300" w:type="dxa"/>
          </w:tcPr>
          <w:p>
            <w:pPr>
              <w:jc w:val="center"/>
            </w:pPr>
            <w:r>
              <w:rPr>
                <w:sz w:val="20"/>
                <w:szCs w:val="20"/>
              </w:rPr>
              <w:t xml:space="preserve">UYGUNDUR</w:t>
            </w:r>
          </w:p>
        </w:tc>
      </w:tr>
      <w:tr>
        <w:trPr/>
        <w:tc>
          <w:tcPr>
            <w:tcW w:w="6300" w:type="dxa"/>
          </w:tcPr>
          <w:p/>
        </w:tc>
        <w:tc>
          <w:tcPr>
            <w:tcW w:w="6300" w:type="dxa"/>
          </w:tcPr>
          <w:p>
            <w:pPr>
              <w:jc w:val="center"/>
            </w:pPr>
            <w:r>
              <w:rPr>
                <w:sz w:val="20"/>
                <w:szCs w:val="20"/>
              </w:rPr>
              <w:t xml:space="preserve">02/03/2026</w:t>
            </w:r>
          </w:p>
        </w:tc>
      </w:tr>
      <w:tr>
        <w:trPr/>
        <w:tc>
          <w:tcPr>
            <w:tcW w:w="6300" w:type="dxa"/>
          </w:tcPr>
          <w:p>
            <w:pPr>
              <w:jc w:val="center"/>
            </w:pPr>
            <w:r>
              <w:rPr>
                <w:sz w:val="20"/>
                <w:szCs w:val="20"/>
              </w:rPr>
              <w:t xml:space="preserve">Adem Güngör</w:t>
            </w:r>
          </w:p>
        </w:tc>
        <w:tc>
          <w:tcPr>
            <w:tcW w:w="6300" w:type="dxa"/>
          </w:tcPr>
          <w:p>
            <w:pPr>
              <w:jc w:val="center"/>
            </w:pPr>
            <w:r>
              <w:rPr>
                <w:sz w:val="20"/>
                <w:szCs w:val="20"/>
              </w:rPr>
              <w:t xml:space="preserve">Ümit BALBARS</w:t>
            </w:r>
          </w:p>
        </w:tc>
      </w:tr>
      <w:tr>
        <w:trPr/>
        <w:tc>
          <w:tcPr>
            <w:tcW w:w="6300" w:type="dxa"/>
          </w:tcPr>
          <w:p>
            <w:pPr>
              <w:jc w:val="center"/>
            </w:pPr>
            <w:r>
              <w:rPr>
                <w:sz w:val="20"/>
                <w:szCs w:val="20"/>
                <w:b w:val="1"/>
                <w:bCs w:val="1"/>
              </w:rPr>
              <w:t xml:space="preserve">Ders Öğretmeni</w:t>
            </w:r>
          </w:p>
        </w:tc>
        <w:tc>
          <w:tcPr>
            <w:tcW w:w="6300" w:type="dxa"/>
          </w:tcPr>
          <w:p>
            <w:pPr>
              <w:jc w:val="center"/>
            </w:pPr>
            <w:r>
              <w:rPr>
                <w:sz w:val="20"/>
                <w:szCs w:val="20"/>
                <w:b w:val="1"/>
                <w:bCs w:val="1"/>
              </w:rPr>
              <w:t xml:space="preserve">Okul Müdürü</w:t>
            </w:r>
          </w:p>
        </w:tc>
      </w:tr>
    </w:tbl>
    <w:sectPr>
      <w:pgSz w:orient="portrait" w:w="11905.511811023622" w:h="16837.79527559055"/>
      <w:pgMar w:top="300" w:right="800" w:bottom="150" w:left="800" w:header="720" w:footer="720" w:gutter="0"/>
      <w:cols w:num="1" w:space="72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2" w:usb2="00000000" w:usb3="00000000" w:csb0="0000009F" w:csb1="00000000"/>
  </w:font>
</w:fonts>
</file>

<file path=word/header1.xml>
</file>

<file path=word/header2.xml>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tr-TR" w:eastAsia="x-none" w:bidi="x-none"/>
  <w:zoom w:percent="100"/>
</w:settings>
</file>

<file path=word/styles.xml><?xml version="1.0" encoding="utf-8"?>
<w:styles xmlns:r="http://schemas.openxmlformats.org/officeDocument/2006/relationships" xmlns:w="http://schemas.openxmlformats.org/wordprocessingml/2006/main">
  <w:docDefaults>
    <w:rPrDefault>
      <w:rPr>
        <w:rFonts w:ascii="Arial Nova" w:hAnsi="Arial Nova" w:eastAsia="Arial Nova" w:cs="Arial Nova"/>
        <w:sz w:val="20"/>
        <w:szCs w:val="20"/>
        <w:lang w:val="tr-TR"/>
      </w:rPr>
    </w:rPrDefault>
  </w:docDefaults>
  <w:style w:type="paragraph" w:default="1" w:styleId="Normal">
    <w:name w:val="Normal"/>
    <w:pPr>
      <w:spacing w:after="0" w:line="360" w:lineRule="auto"/>
    </w:pPr>
  </w:style>
  <w:style w:type="character" w:styleId="FootnoteReference">
    <w:name w:val="Footnote Reference"/>
    <w:semiHidden/>
    <w:unhideWhenUsed/>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ÖğretmenEvrak</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İnstagram @ogretmen_evrak</dc:creator>
  <dc:title>Günlük Plan Hazırlama Modülü - Öğretmen Evrak Uygulaması</dc:title>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dc:subject>Evraklarınızı otomatik hazırlar.</dc:subject>
  <cp:keywords>Öğretmen; Öğretmen Evrak; zümre; şök; Yıllık Plan; performans proje; kazanımlar; ödev kontrol</cp:keywords>
  <cp:category>Eğitim Uygulamaları; Eğitim Çözümleri</cp:category>
  <cp:lastModifiedBy>ÖğretmenEvrak</cp:lastModifiedBy>
  <dcterms:created xsi:type="dcterms:W3CDTF">2025-10-05T15:26:31+03:00</dcterms:created>
  <dcterms:modified xsi:type="dcterms:W3CDTF">2025-10-05T15:26:31+03:00</dcterms:modified>
</cp:coreProperties>
</file>

<file path=docProps/custom.xml><?xml version="1.0" encoding="utf-8"?>
<Properties xmlns="http://schemas.openxmlformats.org/officeDocument/2006/custom-properties" xmlns:vt="http://schemas.openxmlformats.org/officeDocument/2006/docPropsVTypes"/>
</file>